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63"/>
        <w:gridCol w:w="335"/>
        <w:gridCol w:w="268"/>
        <w:gridCol w:w="781"/>
        <w:gridCol w:w="373"/>
        <w:gridCol w:w="223"/>
        <w:gridCol w:w="221"/>
        <w:gridCol w:w="322"/>
        <w:gridCol w:w="114"/>
        <w:gridCol w:w="230"/>
        <w:gridCol w:w="200"/>
        <w:gridCol w:w="571"/>
        <w:gridCol w:w="134"/>
        <w:gridCol w:w="442"/>
        <w:gridCol w:w="268"/>
        <w:gridCol w:w="321"/>
        <w:gridCol w:w="451"/>
        <w:gridCol w:w="78"/>
        <w:gridCol w:w="134"/>
        <w:gridCol w:w="98"/>
        <w:gridCol w:w="111"/>
        <w:gridCol w:w="321"/>
        <w:gridCol w:w="156"/>
        <w:gridCol w:w="165"/>
        <w:gridCol w:w="426"/>
        <w:gridCol w:w="856"/>
      </w:tblGrid>
      <w:tr w:rsidR="00506152" w:rsidRPr="00506152" w14:paraId="02F6D327" w14:textId="77777777" w:rsidTr="00F06EFA">
        <w:trPr>
          <w:trHeight w:val="1611"/>
        </w:trPr>
        <w:tc>
          <w:tcPr>
            <w:tcW w:w="3457" w:type="pct"/>
            <w:gridSpan w:val="16"/>
          </w:tcPr>
          <w:p w14:paraId="34175FC4" w14:textId="77777777" w:rsidR="00506152" w:rsidRPr="00506152" w:rsidRDefault="00506152" w:rsidP="00F06EFA">
            <w:pPr>
              <w:spacing w:before="120" w:after="0" w:line="240" w:lineRule="auto"/>
              <w:ind w:left="22"/>
              <w:rPr>
                <w:rFonts w:ascii="Times New Roman" w:eastAsia="Calibri" w:hAnsi="Times New Roman" w:cs="Times New Roman"/>
                <w:b/>
                <w:color w:val="000000"/>
              </w:rPr>
            </w:pPr>
            <w:bookmarkStart w:id="0" w:name="t1"/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>Nazwa projektu</w:t>
            </w:r>
          </w:p>
          <w:p w14:paraId="587C97B1" w14:textId="528453E7" w:rsidR="00190EA7" w:rsidRDefault="00190EA7" w:rsidP="00F06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Projekt rozporządzenia </w:t>
            </w:r>
            <w:r w:rsidR="00B21420">
              <w:rPr>
                <w:rFonts w:ascii="Times New Roman" w:eastAsia="Calibri" w:hAnsi="Times New Roman" w:cs="Times New Roman"/>
                <w:bCs/>
              </w:rPr>
              <w:t xml:space="preserve">Ministra Sprawiedliwości </w:t>
            </w:r>
            <w:r w:rsidR="00B21420" w:rsidRPr="00B21420">
              <w:rPr>
                <w:rFonts w:ascii="Times New Roman" w:eastAsia="Calibri" w:hAnsi="Times New Roman" w:cs="Times New Roman"/>
                <w:bCs/>
              </w:rPr>
              <w:t xml:space="preserve">w sprawie </w:t>
            </w:r>
            <w:r w:rsidR="002D31AF">
              <w:rPr>
                <w:rFonts w:ascii="Times New Roman" w:eastAsia="Calibri" w:hAnsi="Times New Roman" w:cs="Times New Roman"/>
                <w:bCs/>
              </w:rPr>
              <w:t>po</w:t>
            </w:r>
            <w:r w:rsidR="00B21420" w:rsidRPr="00B21420">
              <w:rPr>
                <w:rFonts w:ascii="Times New Roman" w:eastAsia="Calibri" w:hAnsi="Times New Roman" w:cs="Times New Roman"/>
                <w:bCs/>
              </w:rPr>
              <w:t>rtalu informacyjnego</w:t>
            </w:r>
            <w:r w:rsidR="002D31AF">
              <w:rPr>
                <w:rFonts w:ascii="Times New Roman" w:eastAsia="Calibri" w:hAnsi="Times New Roman" w:cs="Times New Roman"/>
                <w:bCs/>
              </w:rPr>
              <w:t xml:space="preserve"> </w:t>
            </w:r>
          </w:p>
          <w:p w14:paraId="7296E39B" w14:textId="77777777" w:rsidR="002D31AF" w:rsidRDefault="002D31AF" w:rsidP="00F06E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"/>
              <w:jc w:val="both"/>
            </w:pPr>
          </w:p>
          <w:p w14:paraId="65E1C18E" w14:textId="44AA68A0" w:rsidR="00506152" w:rsidRPr="00506152" w:rsidRDefault="00506152" w:rsidP="00F06EFA">
            <w:pPr>
              <w:spacing w:before="120" w:after="0" w:line="240" w:lineRule="auto"/>
              <w:ind w:left="22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>Ministerstwo wiodące i ministerstwa współpracujące</w:t>
            </w:r>
          </w:p>
          <w:bookmarkEnd w:id="0"/>
          <w:p w14:paraId="6D5C9049" w14:textId="1AB75FE4" w:rsidR="005E4F0D" w:rsidRPr="005E4F0D" w:rsidRDefault="005E4F0D" w:rsidP="00F06EFA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color w:val="000000"/>
              </w:rPr>
            </w:pPr>
            <w:r w:rsidRPr="005E4F0D">
              <w:rPr>
                <w:rFonts w:ascii="Times New Roman" w:eastAsia="Calibri" w:hAnsi="Times New Roman" w:cs="Times New Roman"/>
                <w:color w:val="000000"/>
              </w:rPr>
              <w:t>Ministerstwo Sprawiedliwości – ministerstwo wiodące</w:t>
            </w:r>
          </w:p>
          <w:p w14:paraId="13182FDE" w14:textId="77777777" w:rsidR="005E4F0D" w:rsidRPr="005E4F0D" w:rsidRDefault="005E4F0D" w:rsidP="00F06EFA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color w:val="000000"/>
              </w:rPr>
            </w:pPr>
            <w:r w:rsidRPr="005E4F0D">
              <w:rPr>
                <w:rFonts w:ascii="Times New Roman" w:eastAsia="Calibri" w:hAnsi="Times New Roman" w:cs="Times New Roman"/>
                <w:color w:val="000000"/>
              </w:rPr>
              <w:t>Ministerstwo Cyfryzacji – ministerstwo współpracujące</w:t>
            </w:r>
          </w:p>
          <w:p w14:paraId="30630A8E" w14:textId="77777777" w:rsidR="00506152" w:rsidRPr="00506152" w:rsidRDefault="00506152" w:rsidP="00F06EFA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6298B928" w14:textId="77777777" w:rsidR="00506152" w:rsidRDefault="00506152" w:rsidP="00F06EFA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b/>
                <w:sz w:val="21"/>
                <w:szCs w:val="24"/>
              </w:rPr>
              <w:t>Osoba odpowiedzialna za projekt w randze Ministra, Sekretarza Stanu lub Podsekretarza Stanu</w:t>
            </w:r>
            <w:r w:rsidRPr="005061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 xml:space="preserve"> </w:t>
            </w:r>
          </w:p>
          <w:p w14:paraId="44719613" w14:textId="1682E274" w:rsidR="007D39CB" w:rsidRPr="007D39CB" w:rsidRDefault="00F06EFA" w:rsidP="00F06EFA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Pani </w:t>
            </w:r>
            <w:r w:rsidR="00556FB4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Zuzanna Rudzińska – Bluszcz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,</w:t>
            </w:r>
            <w:r w:rsidR="00556FB4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Podsekretarz Stanu</w:t>
            </w:r>
          </w:p>
          <w:p w14:paraId="75EBAEB8" w14:textId="77777777" w:rsidR="0045137B" w:rsidRPr="00506152" w:rsidRDefault="0045137B" w:rsidP="00F06EFA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b/>
                <w:sz w:val="21"/>
                <w:szCs w:val="21"/>
              </w:rPr>
            </w:pPr>
          </w:p>
          <w:p w14:paraId="73B1CB6F" w14:textId="77777777" w:rsidR="00506152" w:rsidRPr="00506152" w:rsidRDefault="00506152" w:rsidP="00F06EFA">
            <w:pPr>
              <w:spacing w:before="120" w:after="0" w:line="240" w:lineRule="auto"/>
              <w:ind w:left="22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>Kontakt do opiekuna merytorycznego projektu</w:t>
            </w:r>
          </w:p>
          <w:p w14:paraId="2D3D2645" w14:textId="74007FA7" w:rsidR="00190EA7" w:rsidRPr="00190EA7" w:rsidRDefault="002D31AF" w:rsidP="00F06EFA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bCs/>
                <w:color w:val="000000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</w:rPr>
              <w:t xml:space="preserve">Małgorzata Sieńko </w:t>
            </w:r>
            <w:r w:rsidR="00190EA7" w:rsidRPr="00190EA7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</w:t>
            </w:r>
            <w:r w:rsidR="00556FB4">
              <w:rPr>
                <w:rFonts w:ascii="Times New Roman" w:eastAsia="Calibri" w:hAnsi="Times New Roman" w:cs="Times New Roman"/>
                <w:bCs/>
                <w:color w:val="000000"/>
              </w:rPr>
              <w:br/>
            </w:r>
            <w:r w:rsidR="00190EA7" w:rsidRPr="00190EA7">
              <w:rPr>
                <w:rFonts w:ascii="Times New Roman" w:eastAsia="Calibri" w:hAnsi="Times New Roman" w:cs="Times New Roman"/>
                <w:bCs/>
                <w:color w:val="000000"/>
              </w:rPr>
              <w:t>Dyrektor Departament</w:t>
            </w:r>
            <w:r w:rsidR="00556FB4">
              <w:rPr>
                <w:rFonts w:ascii="Times New Roman" w:eastAsia="Calibri" w:hAnsi="Times New Roman" w:cs="Times New Roman"/>
                <w:bCs/>
                <w:color w:val="000000"/>
              </w:rPr>
              <w:t>u</w:t>
            </w:r>
            <w:r w:rsidR="00190EA7" w:rsidRPr="00190EA7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Legislacyjn</w:t>
            </w:r>
            <w:r w:rsidR="00556FB4">
              <w:rPr>
                <w:rFonts w:ascii="Times New Roman" w:eastAsia="Calibri" w:hAnsi="Times New Roman" w:cs="Times New Roman"/>
                <w:bCs/>
                <w:color w:val="000000"/>
              </w:rPr>
              <w:t>ego</w:t>
            </w:r>
            <w:r w:rsidR="00190EA7" w:rsidRPr="00190EA7">
              <w:rPr>
                <w:rFonts w:ascii="Times New Roman" w:eastAsia="Calibri" w:hAnsi="Times New Roman" w:cs="Times New Roman"/>
                <w:bCs/>
                <w:color w:val="000000"/>
              </w:rPr>
              <w:t xml:space="preserve"> Prawa Cywilnego</w:t>
            </w:r>
          </w:p>
          <w:p w14:paraId="1DF1F1B8" w14:textId="0CB0CBDC" w:rsidR="00190EA7" w:rsidRPr="00190EA7" w:rsidRDefault="00190EA7" w:rsidP="00F06EFA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bCs/>
                <w:color w:val="000000"/>
              </w:rPr>
            </w:pPr>
            <w:r w:rsidRPr="00190EA7">
              <w:rPr>
                <w:rFonts w:ascii="Times New Roman" w:eastAsia="Calibri" w:hAnsi="Times New Roman" w:cs="Times New Roman"/>
                <w:bCs/>
                <w:color w:val="000000"/>
              </w:rPr>
              <w:t>Email:</w:t>
            </w:r>
            <w:r w:rsidRPr="00190EA7">
              <w:rPr>
                <w:rFonts w:ascii="Calibri" w:eastAsia="Calibri" w:hAnsi="Calibri" w:cs="Times New Roman"/>
              </w:rPr>
              <w:t xml:space="preserve"> </w:t>
            </w:r>
            <w:r w:rsidR="00556FB4">
              <w:rPr>
                <w:rFonts w:ascii="Times New Roman" w:eastAsia="Calibri" w:hAnsi="Times New Roman" w:cs="Times New Roman"/>
                <w:bCs/>
                <w:color w:val="000000"/>
              </w:rPr>
              <w:t>sekretariat.dlpc</w:t>
            </w:r>
            <w:r w:rsidRPr="00190EA7">
              <w:rPr>
                <w:rFonts w:ascii="Times New Roman" w:eastAsia="Calibri" w:hAnsi="Times New Roman" w:cs="Times New Roman"/>
                <w:bCs/>
                <w:color w:val="000000"/>
              </w:rPr>
              <w:t>@ms.gov.pl</w:t>
            </w:r>
          </w:p>
          <w:p w14:paraId="5F53429E" w14:textId="64667D90" w:rsidR="00506152" w:rsidRPr="00506152" w:rsidRDefault="00190EA7" w:rsidP="00F06EFA">
            <w:pPr>
              <w:spacing w:after="0" w:line="240" w:lineRule="auto"/>
              <w:ind w:left="22"/>
              <w:rPr>
                <w:rFonts w:ascii="Times New Roman" w:eastAsia="Calibri" w:hAnsi="Times New Roman" w:cs="Times New Roman"/>
                <w:color w:val="000000"/>
              </w:rPr>
            </w:pPr>
            <w:r w:rsidRPr="00190EA7">
              <w:rPr>
                <w:rFonts w:ascii="Times New Roman" w:eastAsia="Calibri" w:hAnsi="Times New Roman" w:cs="Times New Roman"/>
                <w:bCs/>
                <w:color w:val="000000"/>
              </w:rPr>
              <w:t>Tel. 22 52-12-488</w:t>
            </w:r>
          </w:p>
        </w:tc>
        <w:tc>
          <w:tcPr>
            <w:tcW w:w="1543" w:type="pct"/>
            <w:gridSpan w:val="10"/>
            <w:shd w:val="clear" w:color="auto" w:fill="FFFFFF"/>
          </w:tcPr>
          <w:p w14:paraId="182F9E16" w14:textId="795D54C1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Data sporządzenia</w:t>
            </w:r>
            <w:r w:rsidRPr="00506152"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br/>
            </w:r>
            <w:r w:rsidR="00907172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>21</w:t>
            </w:r>
            <w:r w:rsidR="00556FB4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lutego 2024</w:t>
            </w:r>
            <w:r w:rsidR="00190EA7">
              <w:rPr>
                <w:rFonts w:ascii="Times New Roman" w:eastAsia="Calibri" w:hAnsi="Times New Roman" w:cs="Times New Roman"/>
                <w:bCs/>
                <w:sz w:val="21"/>
                <w:szCs w:val="21"/>
              </w:rPr>
              <w:t xml:space="preserve"> r. </w:t>
            </w:r>
          </w:p>
          <w:p w14:paraId="75D0810A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14:paraId="5AF34EAC" w14:textId="7A562454" w:rsid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06152">
              <w:rPr>
                <w:rFonts w:ascii="Times New Roman" w:eastAsia="Calibri" w:hAnsi="Times New Roman" w:cs="Times New Roman"/>
                <w:b/>
              </w:rPr>
              <w:t xml:space="preserve">Źródło: </w:t>
            </w:r>
            <w:bookmarkStart w:id="1" w:name="Lista1"/>
          </w:p>
          <w:p w14:paraId="55BC97AF" w14:textId="319D025C" w:rsidR="00B21420" w:rsidRPr="00506152" w:rsidRDefault="00B21420" w:rsidP="00506152">
            <w:pPr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B21420">
              <w:rPr>
                <w:rFonts w:ascii="Times New Roman" w:eastAsia="Calibri" w:hAnsi="Times New Roman" w:cs="Times New Roman"/>
                <w:bCs/>
              </w:rPr>
              <w:t>art. 53e § 2 ustawy z dnia z dnia 27 lipca 2001 r. – Prawo o ustroju sądów powszechnych (Dz. U. z 2023 r. poz. 217</w:t>
            </w:r>
            <w:r w:rsidR="00190EA7">
              <w:rPr>
                <w:rFonts w:ascii="Times New Roman" w:eastAsia="Calibri" w:hAnsi="Times New Roman" w:cs="Times New Roman"/>
                <w:bCs/>
              </w:rPr>
              <w:t xml:space="preserve">, z </w:t>
            </w:r>
            <w:proofErr w:type="spellStart"/>
            <w:r w:rsidR="00190EA7">
              <w:rPr>
                <w:rFonts w:ascii="Times New Roman" w:eastAsia="Calibri" w:hAnsi="Times New Roman" w:cs="Times New Roman"/>
                <w:bCs/>
              </w:rPr>
              <w:t>późn</w:t>
            </w:r>
            <w:proofErr w:type="spellEnd"/>
            <w:r w:rsidR="00190EA7">
              <w:rPr>
                <w:rFonts w:ascii="Times New Roman" w:eastAsia="Calibri" w:hAnsi="Times New Roman" w:cs="Times New Roman"/>
                <w:bCs/>
              </w:rPr>
              <w:t>. zm.</w:t>
            </w:r>
            <w:r w:rsidRPr="00B21420">
              <w:rPr>
                <w:rFonts w:ascii="Times New Roman" w:eastAsia="Calibri" w:hAnsi="Times New Roman" w:cs="Times New Roman"/>
                <w:bCs/>
              </w:rPr>
              <w:t>)</w:t>
            </w:r>
          </w:p>
          <w:bookmarkEnd w:id="1"/>
          <w:p w14:paraId="7082C555" w14:textId="77777777" w:rsidR="00835DC1" w:rsidRDefault="00506152" w:rsidP="00506152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 xml:space="preserve">Nr w wykazie </w:t>
            </w:r>
          </w:p>
          <w:p w14:paraId="7226014D" w14:textId="1962856F" w:rsidR="00506152" w:rsidRPr="00506152" w:rsidRDefault="00835DC1" w:rsidP="00506152">
            <w:pPr>
              <w:spacing w:before="120"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</w:rPr>
              <w:t xml:space="preserve">A517 </w:t>
            </w:r>
          </w:p>
          <w:p w14:paraId="370CD93D" w14:textId="77777777" w:rsidR="00506152" w:rsidRPr="00506152" w:rsidRDefault="00506152" w:rsidP="00506152">
            <w:pPr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6152" w:rsidRPr="00506152" w14:paraId="2CF40BA9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99CCFF"/>
          </w:tcPr>
          <w:p w14:paraId="520F386A" w14:textId="77777777" w:rsidR="00506152" w:rsidRPr="00506152" w:rsidRDefault="00506152" w:rsidP="00506152">
            <w:pPr>
              <w:spacing w:after="0" w:line="240" w:lineRule="auto"/>
              <w:ind w:left="57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32"/>
                <w:szCs w:val="32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FFFFFF"/>
                <w:sz w:val="32"/>
                <w:szCs w:val="32"/>
              </w:rPr>
              <w:t>OCENA SKUTKÓW REGULACJI</w:t>
            </w:r>
          </w:p>
        </w:tc>
      </w:tr>
      <w:tr w:rsidR="00506152" w:rsidRPr="00506152" w14:paraId="4B6FB8BB" w14:textId="77777777" w:rsidTr="00AD738C">
        <w:trPr>
          <w:trHeight w:val="333"/>
        </w:trPr>
        <w:tc>
          <w:tcPr>
            <w:tcW w:w="5000" w:type="pct"/>
            <w:gridSpan w:val="26"/>
            <w:shd w:val="clear" w:color="auto" w:fill="99CCFF"/>
            <w:vAlign w:val="center"/>
          </w:tcPr>
          <w:p w14:paraId="29701203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</w:rPr>
              <w:t>Jaki problem jest rozwiązywany?</w:t>
            </w:r>
            <w:bookmarkStart w:id="2" w:name="Wybór1"/>
            <w:bookmarkEnd w:id="2"/>
          </w:p>
        </w:tc>
      </w:tr>
      <w:tr w:rsidR="00506152" w:rsidRPr="00506152" w14:paraId="5B80699E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FFFFFF"/>
          </w:tcPr>
          <w:p w14:paraId="486AB683" w14:textId="69E07521" w:rsidR="004C1A61" w:rsidRPr="004C1A61" w:rsidRDefault="00DE170E" w:rsidP="00DE1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4C1A61">
              <w:rPr>
                <w:rFonts w:ascii="Times New Roman" w:eastAsia="Calibri" w:hAnsi="Times New Roman" w:cs="Times New Roman"/>
                <w:color w:val="000000"/>
              </w:rPr>
              <w:t xml:space="preserve">Zgodnie z ustawą </w:t>
            </w:r>
            <w:r w:rsidRPr="00D42EF8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o zmianie ustawy - Kodeks postępowania cywilnego, ustawy - Prawo o ustroju sądów powszechnych, ustawy - Kodeks postępowania karnego oraz niektórych innych ustaw</w:t>
            </w:r>
            <w:r w:rsidR="007F356A" w:rsidRPr="004C1A61">
              <w:rPr>
                <w:rFonts w:ascii="Times New Roman" w:eastAsia="Calibri" w:hAnsi="Times New Roman" w:cs="Times New Roman"/>
                <w:color w:val="000000"/>
              </w:rPr>
              <w:t xml:space="preserve"> (Dz.</w:t>
            </w:r>
            <w:r w:rsidR="0045137B" w:rsidRPr="004C1A6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7F356A" w:rsidRPr="004C1A61">
              <w:rPr>
                <w:rFonts w:ascii="Times New Roman" w:eastAsia="Calibri" w:hAnsi="Times New Roman" w:cs="Times New Roman"/>
                <w:color w:val="000000"/>
              </w:rPr>
              <w:t xml:space="preserve">U. poz. 1860) </w:t>
            </w:r>
            <w:r w:rsidR="00C90D26" w:rsidRPr="004C1A61">
              <w:rPr>
                <w:rFonts w:ascii="Times New Roman" w:eastAsia="Calibri" w:hAnsi="Times New Roman" w:cs="Times New Roman"/>
                <w:color w:val="000000"/>
              </w:rPr>
              <w:t xml:space="preserve">w ustawie – </w:t>
            </w:r>
            <w:r w:rsidR="00C90D26" w:rsidRPr="00D42EF8">
              <w:rPr>
                <w:rFonts w:ascii="Times New Roman" w:eastAsia="Calibri" w:hAnsi="Times New Roman" w:cs="Times New Roman"/>
                <w:i/>
                <w:iCs/>
                <w:color w:val="000000"/>
              </w:rPr>
              <w:t>Prawo o ustroju sądów powszechnych</w:t>
            </w:r>
            <w:r w:rsidR="00C90D26" w:rsidRPr="004C1A6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4C1A61">
              <w:rPr>
                <w:rFonts w:ascii="Times New Roman" w:eastAsia="Calibri" w:hAnsi="Times New Roman" w:cs="Times New Roman"/>
                <w:color w:val="000000"/>
              </w:rPr>
              <w:t xml:space="preserve">dodany został art. </w:t>
            </w:r>
            <w:r w:rsidR="007F356A" w:rsidRPr="004C1A61">
              <w:rPr>
                <w:rFonts w:ascii="Times New Roman" w:eastAsia="Calibri" w:hAnsi="Times New Roman" w:cs="Times New Roman"/>
                <w:color w:val="000000"/>
              </w:rPr>
              <w:t>53e</w:t>
            </w:r>
            <w:r w:rsidR="004C1A61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="004C1A61" w:rsidRPr="004C1A61">
              <w:rPr>
                <w:rFonts w:ascii="Times New Roman" w:eastAsia="Calibri" w:hAnsi="Times New Roman" w:cs="Times New Roman"/>
                <w:color w:val="000000"/>
              </w:rPr>
              <w:t>§</w:t>
            </w:r>
            <w:r w:rsidR="004C1A61">
              <w:rPr>
                <w:rFonts w:ascii="Times New Roman" w:eastAsia="Calibri" w:hAnsi="Times New Roman" w:cs="Times New Roman"/>
                <w:color w:val="000000"/>
              </w:rPr>
              <w:t xml:space="preserve"> 1</w:t>
            </w:r>
            <w:r w:rsidR="007F356A" w:rsidRPr="004C1A61">
              <w:rPr>
                <w:rFonts w:ascii="Times New Roman" w:eastAsia="Calibri" w:hAnsi="Times New Roman" w:cs="Times New Roman"/>
                <w:color w:val="000000"/>
              </w:rPr>
              <w:t>, na podstawie którego</w:t>
            </w:r>
            <w:r w:rsidR="00C90D26" w:rsidRPr="004C1A61">
              <w:rPr>
                <w:rFonts w:ascii="Times New Roman" w:eastAsia="Calibri" w:hAnsi="Times New Roman" w:cs="Times New Roman"/>
                <w:color w:val="000000"/>
              </w:rPr>
              <w:t>, o ile przepis szczególny tak stanowi,</w:t>
            </w:r>
            <w:r w:rsidR="007F356A" w:rsidRPr="004C1A61">
              <w:rPr>
                <w:rFonts w:ascii="Times New Roman" w:eastAsia="Calibri" w:hAnsi="Times New Roman" w:cs="Times New Roman"/>
                <w:color w:val="000000"/>
              </w:rPr>
              <w:t xml:space="preserve"> pisma sądowe doręcza się adwokatom, radcom prawnym, rzecznikom patentowym, prokuratorowi, Prokuratorii Generalnej Rzeczypospolitej Polskiej i organowi emerytalnemu określonemu przez ministra właściwego do spraw wewnętrznych drogą elektroniczną za pośrednictwem kont na portalu informacyjnym</w:t>
            </w:r>
            <w:r w:rsidR="004C1A61">
              <w:rPr>
                <w:rFonts w:ascii="Times New Roman" w:eastAsia="Calibri" w:hAnsi="Times New Roman" w:cs="Times New Roman"/>
                <w:color w:val="000000"/>
              </w:rPr>
              <w:t xml:space="preserve"> (a</w:t>
            </w:r>
            <w:r w:rsidR="004C1A61" w:rsidRPr="004C1A61">
              <w:rPr>
                <w:rFonts w:ascii="Times New Roman" w:eastAsia="Calibri" w:hAnsi="Times New Roman" w:cs="Times New Roman"/>
                <w:color w:val="000000"/>
              </w:rPr>
              <w:t>rt. 53e. §</w:t>
            </w:r>
            <w:r w:rsidR="004C1A61">
              <w:rPr>
                <w:rFonts w:ascii="Times New Roman" w:eastAsia="Calibri" w:hAnsi="Times New Roman" w:cs="Times New Roman"/>
                <w:color w:val="000000"/>
              </w:rPr>
              <w:t xml:space="preserve"> 1 </w:t>
            </w:r>
            <w:proofErr w:type="spellStart"/>
            <w:r w:rsidR="004C1A61">
              <w:rPr>
                <w:rFonts w:ascii="Times New Roman" w:eastAsia="Calibri" w:hAnsi="Times New Roman" w:cs="Times New Roman"/>
                <w:color w:val="000000"/>
              </w:rPr>
              <w:t>zd</w:t>
            </w:r>
            <w:proofErr w:type="spellEnd"/>
            <w:r w:rsidR="004C1A61">
              <w:rPr>
                <w:rFonts w:ascii="Times New Roman" w:eastAsia="Calibri" w:hAnsi="Times New Roman" w:cs="Times New Roman"/>
                <w:color w:val="000000"/>
              </w:rPr>
              <w:t>. 1)</w:t>
            </w:r>
            <w:r w:rsidR="007F356A" w:rsidRPr="004C1A61">
              <w:rPr>
                <w:rFonts w:ascii="Times New Roman" w:eastAsia="Calibri" w:hAnsi="Times New Roman" w:cs="Times New Roman"/>
                <w:color w:val="000000"/>
              </w:rPr>
              <w:t>.</w:t>
            </w:r>
            <w:r w:rsidR="00D340CF" w:rsidRPr="004C1A61">
              <w:rPr>
                <w:rFonts w:ascii="Times New Roman" w:eastAsia="Calibri" w:hAnsi="Times New Roman" w:cs="Times New Roman"/>
                <w:color w:val="000000"/>
              </w:rPr>
              <w:t xml:space="preserve"> Ma to na celu zinformatyzowanie doręczeń za pomocą jednego systemu teleinformatycznego, co ułatwi wskazanym w projekcie podmiotom kontakt z sądem z wykorzystaniem postępu technologicznego oraz zapewni spójność systemu.</w:t>
            </w:r>
            <w:r w:rsidR="004C1A61">
              <w:rPr>
                <w:rFonts w:ascii="Times New Roman" w:eastAsia="Calibri" w:hAnsi="Times New Roman" w:cs="Times New Roman"/>
                <w:color w:val="000000"/>
              </w:rPr>
              <w:t xml:space="preserve"> Poza tym zgodnie z treścią </w:t>
            </w:r>
            <w:r w:rsidR="004C1A61" w:rsidRPr="004C1A61">
              <w:rPr>
                <w:rFonts w:ascii="Times New Roman" w:eastAsia="Calibri" w:hAnsi="Times New Roman" w:cs="Times New Roman"/>
                <w:color w:val="000000"/>
              </w:rPr>
              <w:t xml:space="preserve">§ 1 </w:t>
            </w:r>
            <w:proofErr w:type="spellStart"/>
            <w:r w:rsidR="004C1A61" w:rsidRPr="004C1A61">
              <w:rPr>
                <w:rFonts w:ascii="Times New Roman" w:eastAsia="Calibri" w:hAnsi="Times New Roman" w:cs="Times New Roman"/>
                <w:color w:val="000000"/>
              </w:rPr>
              <w:t>zd</w:t>
            </w:r>
            <w:proofErr w:type="spellEnd"/>
            <w:r w:rsidR="004C1A61" w:rsidRPr="004C1A61">
              <w:rPr>
                <w:rFonts w:ascii="Times New Roman" w:eastAsia="Calibri" w:hAnsi="Times New Roman" w:cs="Times New Roman"/>
                <w:color w:val="000000"/>
              </w:rPr>
              <w:t xml:space="preserve">. </w:t>
            </w:r>
            <w:r w:rsidR="004C1A61">
              <w:rPr>
                <w:rFonts w:ascii="Times New Roman" w:eastAsia="Calibri" w:hAnsi="Times New Roman" w:cs="Times New Roman"/>
                <w:color w:val="000000"/>
              </w:rPr>
              <w:t xml:space="preserve">2 powołanego przepisu, za </w:t>
            </w:r>
            <w:r w:rsidR="004C1A61" w:rsidRPr="004C1A61">
              <w:rPr>
                <w:rFonts w:ascii="Times New Roman" w:eastAsia="Calibri" w:hAnsi="Times New Roman" w:cs="Times New Roman"/>
                <w:color w:val="000000"/>
              </w:rPr>
              <w:t>pośrednictwem portalu informacyjnego można też informować strony i ich pełnomocników o czynnościach podejmowanych w sprawie.</w:t>
            </w:r>
          </w:p>
          <w:p w14:paraId="23570A4F" w14:textId="77777777" w:rsidR="007F356A" w:rsidRDefault="007F356A" w:rsidP="00DE170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</w:p>
          <w:p w14:paraId="78C5E8C9" w14:textId="0F27B55D" w:rsidR="002909D8" w:rsidRPr="00506152" w:rsidRDefault="007F356A" w:rsidP="002909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Powoduje to konieczność wydania przez Ministra Sprawiedliwości </w:t>
            </w:r>
            <w:r w:rsidR="002909D8" w:rsidRPr="002909D8">
              <w:rPr>
                <w:rFonts w:ascii="Times New Roman" w:eastAsia="Calibri" w:hAnsi="Times New Roman" w:cs="Times New Roman"/>
                <w:color w:val="000000"/>
              </w:rPr>
              <w:t xml:space="preserve">w porozumieniu z ministrem właściwym do spraw informatyzacji </w:t>
            </w:r>
            <w:r>
              <w:rPr>
                <w:rFonts w:ascii="Times New Roman" w:eastAsia="Calibri" w:hAnsi="Times New Roman" w:cs="Times New Roman"/>
                <w:color w:val="000000"/>
              </w:rPr>
              <w:t>rozporządzenia</w:t>
            </w:r>
            <w:r w:rsidRPr="007F356A">
              <w:rPr>
                <w:rFonts w:ascii="Times New Roman" w:eastAsia="Calibri" w:hAnsi="Times New Roman" w:cs="Times New Roman"/>
                <w:color w:val="000000"/>
              </w:rPr>
              <w:t xml:space="preserve">, 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określającego </w:t>
            </w:r>
            <w:r w:rsidRPr="007F356A">
              <w:rPr>
                <w:rFonts w:ascii="Times New Roman" w:eastAsia="Calibri" w:hAnsi="Times New Roman" w:cs="Times New Roman"/>
                <w:color w:val="000000"/>
              </w:rPr>
              <w:t>warunki techniczne korzystania z portalu informacyjnego i jego funkcjonowania oraz tryb zakładania, udostępniania i likwidacji konta w portalu informacyjnym, z uwzględnieniem sprawności postępowania, ochrony praw stron postępowania oraz zasad wykonywania zawodu przez adwokatów, radców prawnych i rzeczników patentowych.</w:t>
            </w:r>
            <w:r>
              <w:rPr>
                <w:rFonts w:ascii="Times New Roman" w:eastAsia="Calibri" w:hAnsi="Times New Roman" w:cs="Times New Roman"/>
                <w:color w:val="000000"/>
              </w:rPr>
              <w:t xml:space="preserve"> Rozporządzenie ma charakter techniczny i nie porusza kwestii materialnoprawnych.</w:t>
            </w:r>
          </w:p>
        </w:tc>
      </w:tr>
      <w:tr w:rsidR="00506152" w:rsidRPr="00506152" w14:paraId="6331C9FF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99CCFF"/>
            <w:vAlign w:val="center"/>
          </w:tcPr>
          <w:p w14:paraId="6860C350" w14:textId="18D6D340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Rekomendowane rozwiązanie, w tym planowane narzędzia </w:t>
            </w:r>
            <w:r w:rsidR="002D31AF" w:rsidRPr="00506152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>interwencji</w:t>
            </w:r>
            <w:r w:rsidRPr="00506152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 i oczekiwany efekt</w:t>
            </w:r>
          </w:p>
        </w:tc>
      </w:tr>
      <w:tr w:rsidR="00506152" w:rsidRPr="00506152" w14:paraId="7F6F9260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auto"/>
          </w:tcPr>
          <w:p w14:paraId="0E7E8C05" w14:textId="0DF6CD5D" w:rsidR="0045137B" w:rsidRDefault="0045137B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  <w:r>
              <w:rPr>
                <w:rFonts w:ascii="Times New Roman" w:eastAsia="Calibri" w:hAnsi="Times New Roman" w:cs="Times New Roman"/>
                <w:bCs/>
                <w:spacing w:val="-2"/>
              </w:rPr>
              <w:t>Projektowana regulacja w:</w:t>
            </w:r>
          </w:p>
          <w:p w14:paraId="66130972" w14:textId="3741182F" w:rsidR="002909D8" w:rsidRDefault="0045137B" w:rsidP="002909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  <w:r>
              <w:rPr>
                <w:rFonts w:ascii="Times New Roman" w:eastAsia="Calibri" w:hAnsi="Times New Roman" w:cs="Times New Roman"/>
                <w:bCs/>
                <w:spacing w:val="-2"/>
              </w:rPr>
              <w:t xml:space="preserve">- </w:t>
            </w:r>
            <w:r w:rsidR="00E20205">
              <w:rPr>
                <w:rFonts w:ascii="Times New Roman" w:eastAsia="Calibri" w:hAnsi="Times New Roman" w:cs="Times New Roman"/>
                <w:bCs/>
                <w:spacing w:val="-2"/>
              </w:rPr>
              <w:t>§ 2 zawiera definicje legalne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: 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dministrator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konta instytucjonalnego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identyfikator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konta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,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identyfikator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konta instytucjonalnego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identyfikator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konta zależnego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identyfikator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osoby fizycznej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identyfikator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podmiotu publicznego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kon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ta,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kon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ta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instytucjonaln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ego,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kon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ta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zależn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ego,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pełnomocnik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zawodow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ego,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podmio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tu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publiczn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ego,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profilu użytkownika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ROBUS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,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uwierzytelnieni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 xml:space="preserve">a oraz 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>użytkownik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a</w:t>
            </w:r>
            <w:r w:rsidR="002909D8" w:rsidRPr="002909D8">
              <w:rPr>
                <w:rFonts w:ascii="Times New Roman" w:eastAsia="Calibri" w:hAnsi="Times New Roman" w:cs="Times New Roman"/>
                <w:bCs/>
                <w:spacing w:val="-2"/>
              </w:rPr>
              <w:t xml:space="preserve"> konta</w:t>
            </w:r>
            <w:r w:rsidR="00FF49CD">
              <w:rPr>
                <w:rFonts w:ascii="Times New Roman" w:eastAsia="Calibri" w:hAnsi="Times New Roman" w:cs="Times New Roman"/>
                <w:bCs/>
                <w:spacing w:val="-2"/>
              </w:rPr>
              <w:t>.</w:t>
            </w:r>
          </w:p>
          <w:p w14:paraId="0FC8BC73" w14:textId="77777777" w:rsidR="00D340CF" w:rsidRDefault="00D340CF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</w:p>
          <w:p w14:paraId="065290CF" w14:textId="1462E5FB" w:rsidR="0045137B" w:rsidRDefault="0045137B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  <w:r>
              <w:rPr>
                <w:rFonts w:ascii="Times New Roman" w:eastAsia="Calibri" w:hAnsi="Times New Roman" w:cs="Times New Roman"/>
                <w:bCs/>
                <w:spacing w:val="-2"/>
              </w:rPr>
              <w:t xml:space="preserve">- </w:t>
            </w:r>
            <w:r w:rsidR="00D340CF">
              <w:rPr>
                <w:rFonts w:ascii="Times New Roman" w:eastAsia="Calibri" w:hAnsi="Times New Roman" w:cs="Times New Roman"/>
                <w:bCs/>
                <w:spacing w:val="-2"/>
              </w:rPr>
              <w:t xml:space="preserve">§ 3 </w:t>
            </w:r>
            <w:r w:rsidR="00D7684E">
              <w:rPr>
                <w:rFonts w:ascii="Times New Roman" w:eastAsia="Calibri" w:hAnsi="Times New Roman" w:cs="Times New Roman"/>
                <w:bCs/>
                <w:spacing w:val="-2"/>
              </w:rPr>
              <w:t xml:space="preserve">określa </w:t>
            </w:r>
            <w:r w:rsidR="005F5A68">
              <w:rPr>
                <w:rFonts w:ascii="Times New Roman" w:eastAsia="Calibri" w:hAnsi="Times New Roman" w:cs="Times New Roman"/>
                <w:bCs/>
                <w:spacing w:val="-2"/>
              </w:rPr>
              <w:t xml:space="preserve">warunki techniczne korzystania z portali informacyjnego i jego funkcjonowania. </w:t>
            </w:r>
            <w:r w:rsidR="00423FE7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</w:p>
          <w:p w14:paraId="542AD31F" w14:textId="77777777" w:rsidR="0045137B" w:rsidRDefault="0045137B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</w:p>
          <w:p w14:paraId="498D749E" w14:textId="527C66A1" w:rsidR="00023536" w:rsidRPr="00023536" w:rsidRDefault="0045137B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  <w:r w:rsidRPr="000E7DA1">
              <w:rPr>
                <w:rFonts w:ascii="Times New Roman" w:eastAsia="Calibri" w:hAnsi="Times New Roman" w:cs="Times New Roman"/>
                <w:bCs/>
                <w:spacing w:val="-2"/>
              </w:rPr>
              <w:t xml:space="preserve">- </w:t>
            </w:r>
            <w:r w:rsidR="00423FE7" w:rsidRPr="000E7DA1">
              <w:rPr>
                <w:rFonts w:ascii="Times New Roman" w:eastAsia="Calibri" w:hAnsi="Times New Roman" w:cs="Times New Roman"/>
                <w:bCs/>
                <w:spacing w:val="-2"/>
              </w:rPr>
              <w:t xml:space="preserve">§ 4 </w:t>
            </w:r>
            <w:r w:rsidR="005F5A68" w:rsidRPr="000E7DA1">
              <w:rPr>
                <w:rFonts w:ascii="Times New Roman" w:eastAsia="Calibri" w:hAnsi="Times New Roman" w:cs="Times New Roman"/>
                <w:bCs/>
                <w:spacing w:val="-2"/>
              </w:rPr>
              <w:t xml:space="preserve">reguluje zagadnienie założenia konta dla osoby fizycznej </w:t>
            </w:r>
            <w:r w:rsidR="00AE0441" w:rsidRPr="000E7DA1">
              <w:rPr>
                <w:rFonts w:ascii="Times New Roman" w:eastAsia="Calibri" w:hAnsi="Times New Roman" w:cs="Times New Roman"/>
                <w:bCs/>
                <w:spacing w:val="-2"/>
              </w:rPr>
              <w:t>po złożeniu przez nią wniosku na formularzu w portalu in</w:t>
            </w:r>
            <w:r w:rsidR="005F5A68" w:rsidRPr="000E7DA1">
              <w:rPr>
                <w:rFonts w:ascii="Times New Roman" w:eastAsia="Calibri" w:hAnsi="Times New Roman" w:cs="Times New Roman"/>
                <w:bCs/>
                <w:spacing w:val="-2"/>
              </w:rPr>
              <w:t>formacyjnym</w:t>
            </w:r>
            <w:r w:rsidR="00AE0441" w:rsidRPr="000E7DA1">
              <w:rPr>
                <w:rFonts w:ascii="Times New Roman" w:eastAsia="Calibri" w:hAnsi="Times New Roman" w:cs="Times New Roman"/>
                <w:bCs/>
                <w:spacing w:val="-2"/>
              </w:rPr>
              <w:t xml:space="preserve"> zawierającego</w:t>
            </w:r>
            <w:r w:rsidR="005F5A68" w:rsidRPr="000E7DA1">
              <w:rPr>
                <w:rFonts w:ascii="Times New Roman" w:eastAsia="Calibri" w:hAnsi="Times New Roman" w:cs="Times New Roman"/>
                <w:bCs/>
                <w:spacing w:val="-2"/>
              </w:rPr>
              <w:t>: imion</w:t>
            </w:r>
            <w:r w:rsidR="00AE0441" w:rsidRPr="000E7DA1">
              <w:rPr>
                <w:rFonts w:ascii="Times New Roman" w:eastAsia="Calibri" w:hAnsi="Times New Roman" w:cs="Times New Roman"/>
                <w:bCs/>
                <w:spacing w:val="-2"/>
              </w:rPr>
              <w:t>a</w:t>
            </w:r>
            <w:r w:rsidR="005F5A68" w:rsidRPr="000E7DA1">
              <w:rPr>
                <w:rFonts w:ascii="Times New Roman" w:eastAsia="Calibri" w:hAnsi="Times New Roman" w:cs="Times New Roman"/>
                <w:bCs/>
                <w:spacing w:val="-2"/>
              </w:rPr>
              <w:t xml:space="preserve"> i nazwiska, numeru PESEL, a w przypadku obcokrajowca nieposiadającego numeru PESEL – daty urodzenia, nazwy kraju oraz serii i/lub numeru dokumentu stwierdzającego tożsamość i obywatelstwo; adres poczty elektronicznej; </w:t>
            </w:r>
            <w:r w:rsidR="000E7DA1" w:rsidRPr="000E7DA1">
              <w:rPr>
                <w:rFonts w:ascii="Times New Roman" w:eastAsia="Calibri" w:hAnsi="Times New Roman" w:cs="Times New Roman"/>
                <w:bCs/>
                <w:spacing w:val="-2"/>
              </w:rPr>
              <w:lastRenderedPageBreak/>
              <w:t>wybranie p</w:t>
            </w:r>
            <w:r w:rsidR="005F5A68" w:rsidRPr="000E7DA1">
              <w:rPr>
                <w:rFonts w:ascii="Times New Roman" w:eastAsia="Calibri" w:hAnsi="Times New Roman" w:cs="Times New Roman"/>
                <w:bCs/>
                <w:spacing w:val="-2"/>
              </w:rPr>
              <w:t xml:space="preserve">rofilu użytkownika; adresu zamieszkania; numeru telefonu komórkowego; w przypadku pełnomocnika zawodowego </w:t>
            </w:r>
            <w:r w:rsidR="000E7DA1" w:rsidRPr="000E7DA1">
              <w:rPr>
                <w:rFonts w:ascii="Times New Roman" w:eastAsia="Calibri" w:hAnsi="Times New Roman" w:cs="Times New Roman"/>
                <w:bCs/>
                <w:spacing w:val="-2"/>
              </w:rPr>
              <w:t xml:space="preserve">- </w:t>
            </w:r>
            <w:r w:rsidR="005F5A68" w:rsidRPr="000E7DA1">
              <w:rPr>
                <w:rFonts w:ascii="Times New Roman" w:eastAsia="Calibri" w:hAnsi="Times New Roman" w:cs="Times New Roman"/>
                <w:bCs/>
                <w:spacing w:val="-2"/>
              </w:rPr>
              <w:t>numer wpisu na właściwą listę prowadzoną przez samorząd zawodowy.</w:t>
            </w:r>
            <w:r w:rsidR="005F5A68" w:rsidRPr="00FF49CD">
              <w:rPr>
                <w:rFonts w:ascii="Times New Roman" w:eastAsia="Calibri" w:hAnsi="Times New Roman" w:cs="Times New Roman"/>
                <w:bCs/>
                <w:spacing w:val="-2"/>
                <w:highlight w:val="yellow"/>
              </w:rPr>
              <w:t xml:space="preserve"> </w:t>
            </w:r>
            <w:r w:rsidR="005F5A68" w:rsidRPr="00F157E7">
              <w:rPr>
                <w:rFonts w:ascii="Times New Roman" w:eastAsia="Calibri" w:hAnsi="Times New Roman" w:cs="Times New Roman"/>
                <w:bCs/>
                <w:spacing w:val="-2"/>
              </w:rPr>
              <w:t xml:space="preserve">Konieczne będzie także podpisanie wniosku </w:t>
            </w:r>
            <w:r w:rsidR="00F157E7" w:rsidRPr="00F157E7">
              <w:rPr>
                <w:rFonts w:ascii="Times New Roman" w:eastAsia="Calibri" w:hAnsi="Times New Roman" w:cs="Times New Roman"/>
                <w:bCs/>
                <w:spacing w:val="-2"/>
              </w:rPr>
              <w:t>kwalifikowanym podpisem elektronicznym, podpisem osobistym lub podpisem zaufanym albo uwierzytelnienia się przez użycie środka identyfikacji elektronicznej wydanego w systemie identyfikacji elektronicznej przyłączonym do węzła krajowego identyfikacji elektronicznej albo potwierdza się tożsamość wnioskodawcy w terminie 14 dni od dnia złożenia wniosku osobiście w siedzibie dowolnego sądu.</w:t>
            </w:r>
            <w:r w:rsidR="00023536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="00023536" w:rsidRPr="00023536">
              <w:rPr>
                <w:rFonts w:ascii="Times New Roman" w:eastAsia="Calibri" w:hAnsi="Times New Roman" w:cs="Times New Roman"/>
                <w:bCs/>
                <w:spacing w:val="-2"/>
              </w:rPr>
              <w:t>W przepisie określono także, gdzie należy dokonać żądania zmiany lub dodani</w:t>
            </w:r>
            <w:r w:rsidR="00023536">
              <w:rPr>
                <w:rFonts w:ascii="Times New Roman" w:eastAsia="Calibri" w:hAnsi="Times New Roman" w:cs="Times New Roman"/>
                <w:bCs/>
                <w:spacing w:val="-2"/>
              </w:rPr>
              <w:t xml:space="preserve">a </w:t>
            </w:r>
            <w:r w:rsidR="00023536" w:rsidRPr="00023536">
              <w:rPr>
                <w:rFonts w:ascii="Times New Roman" w:eastAsia="Calibri" w:hAnsi="Times New Roman" w:cs="Times New Roman"/>
                <w:bCs/>
                <w:spacing w:val="-2"/>
              </w:rPr>
              <w:t>imienia lub nazwiska lub dodania identyfikatora osoby fizycznej i jak żądanie to potwierdzić.</w:t>
            </w:r>
          </w:p>
          <w:p w14:paraId="564567D9" w14:textId="77777777" w:rsidR="00F157E7" w:rsidRDefault="00F157E7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  <w:highlight w:val="yellow"/>
              </w:rPr>
            </w:pPr>
          </w:p>
          <w:p w14:paraId="35A08D72" w14:textId="6DF48A0D" w:rsidR="00423FE7" w:rsidRPr="00FF49CD" w:rsidRDefault="00423FE7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  <w:highlight w:val="yellow"/>
              </w:rPr>
            </w:pPr>
            <w:r w:rsidRPr="00333ADB">
              <w:rPr>
                <w:rFonts w:ascii="Times New Roman" w:eastAsia="Calibri" w:hAnsi="Times New Roman" w:cs="Times New Roman"/>
                <w:bCs/>
                <w:spacing w:val="-2"/>
              </w:rPr>
              <w:t xml:space="preserve">Konto </w:t>
            </w:r>
            <w:r w:rsidR="00333ADB" w:rsidRPr="00333ADB">
              <w:rPr>
                <w:rFonts w:ascii="Times New Roman" w:eastAsia="Calibri" w:hAnsi="Times New Roman" w:cs="Times New Roman"/>
                <w:bCs/>
                <w:spacing w:val="-2"/>
              </w:rPr>
              <w:t xml:space="preserve">instytucjonalne </w:t>
            </w:r>
            <w:r w:rsidRPr="00333ADB">
              <w:rPr>
                <w:rFonts w:ascii="Times New Roman" w:eastAsia="Calibri" w:hAnsi="Times New Roman" w:cs="Times New Roman"/>
                <w:bCs/>
                <w:spacing w:val="-2"/>
              </w:rPr>
              <w:t xml:space="preserve">w portalu informacyjny będą mogły również założyć podmioty </w:t>
            </w:r>
            <w:r w:rsidR="005F5A68" w:rsidRPr="00333ADB">
              <w:rPr>
                <w:rFonts w:ascii="Times New Roman" w:eastAsia="Calibri" w:hAnsi="Times New Roman" w:cs="Times New Roman"/>
                <w:bCs/>
                <w:spacing w:val="-2"/>
              </w:rPr>
              <w:t>publiczne</w:t>
            </w:r>
            <w:r w:rsidRPr="00333ADB">
              <w:rPr>
                <w:rFonts w:ascii="Times New Roman" w:eastAsia="Calibri" w:hAnsi="Times New Roman" w:cs="Times New Roman"/>
                <w:bCs/>
                <w:spacing w:val="-2"/>
              </w:rPr>
              <w:t xml:space="preserve">, co omówiono w § 5. </w:t>
            </w:r>
            <w:r w:rsidR="005F5A68" w:rsidRPr="00333ADB">
              <w:rPr>
                <w:rFonts w:ascii="Times New Roman" w:eastAsia="Calibri" w:hAnsi="Times New Roman" w:cs="Times New Roman"/>
                <w:bCs/>
                <w:spacing w:val="-2"/>
              </w:rPr>
              <w:t>Będzie się to odbywało po zgłoszeniu przez podmiot publiczny potrzeby posiadania konta za pośrednictwem portalu informacyjnego. Wraz z tym zgłoszeniem konieczne będzie wskazanie administratora konta instytucjonalnego</w:t>
            </w:r>
            <w:r w:rsidR="00E958FB">
              <w:rPr>
                <w:rFonts w:ascii="Times New Roman" w:eastAsia="Calibri" w:hAnsi="Times New Roman" w:cs="Times New Roman"/>
                <w:bCs/>
                <w:spacing w:val="-2"/>
              </w:rPr>
              <w:t xml:space="preserve"> oraz dołączenie dokumentów potwierdzających umocowanie do działania w imieniu podmiotu publicznego, w szczególności poświadczony za zgodność z oryginałem odpis aktu powołania na stanowisko upoważniające do występowa</w:t>
            </w:r>
            <w:r w:rsidR="00E958FB" w:rsidRPr="00E958FB">
              <w:rPr>
                <w:rFonts w:ascii="Times New Roman" w:eastAsia="Calibri" w:hAnsi="Times New Roman" w:cs="Times New Roman"/>
                <w:bCs/>
                <w:spacing w:val="-2"/>
              </w:rPr>
              <w:t xml:space="preserve">nia w jego imieniu. </w:t>
            </w:r>
            <w:r w:rsidR="005F5A68" w:rsidRPr="00E958FB">
              <w:rPr>
                <w:rFonts w:ascii="Times New Roman" w:eastAsia="Calibri" w:hAnsi="Times New Roman" w:cs="Times New Roman"/>
                <w:bCs/>
                <w:spacing w:val="-2"/>
              </w:rPr>
              <w:t xml:space="preserve">W przepisie określono także co musi zawierać przedmiotowe zgłoszenie, jak też w jaki sposób będzie odbywała się </w:t>
            </w:r>
            <w:r w:rsidR="005206A9" w:rsidRPr="00E958FB">
              <w:rPr>
                <w:rFonts w:ascii="Times New Roman" w:eastAsia="Calibri" w:hAnsi="Times New Roman" w:cs="Times New Roman"/>
                <w:bCs/>
                <w:spacing w:val="-2"/>
              </w:rPr>
              <w:t>zmiana dotychczasowego administratora konta instytucjonalnego</w:t>
            </w:r>
          </w:p>
          <w:p w14:paraId="6D863602" w14:textId="77777777" w:rsidR="005206A9" w:rsidRPr="00FF49CD" w:rsidRDefault="005206A9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  <w:highlight w:val="yellow"/>
              </w:rPr>
            </w:pPr>
          </w:p>
          <w:p w14:paraId="29A1300F" w14:textId="119A16A6" w:rsidR="00023536" w:rsidRPr="00ED4C44" w:rsidRDefault="005206A9" w:rsidP="0050615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D4C44">
              <w:rPr>
                <w:rFonts w:ascii="Times New Roman" w:eastAsia="Calibri" w:hAnsi="Times New Roman" w:cs="Times New Roman"/>
                <w:bCs/>
                <w:spacing w:val="-2"/>
              </w:rPr>
              <w:t>Zasady dotyczące konta zależnego</w:t>
            </w:r>
            <w:r w:rsidR="00ED4C44" w:rsidRPr="00ED4C44">
              <w:rPr>
                <w:rFonts w:ascii="Times New Roman" w:eastAsia="Calibri" w:hAnsi="Times New Roman" w:cs="Times New Roman"/>
                <w:bCs/>
                <w:spacing w:val="-2"/>
              </w:rPr>
              <w:t xml:space="preserve">, w tym jego zakładania </w:t>
            </w:r>
            <w:r w:rsidRPr="00ED4C44">
              <w:rPr>
                <w:rFonts w:ascii="Times New Roman" w:eastAsia="Calibri" w:hAnsi="Times New Roman" w:cs="Times New Roman"/>
                <w:bCs/>
                <w:spacing w:val="-2"/>
              </w:rPr>
              <w:t xml:space="preserve">określa § 6 projektowanego rozporządzenia. Z kolei zasady weryfikacji </w:t>
            </w:r>
            <w:r w:rsidR="00ED4C44" w:rsidRPr="00ED4C44">
              <w:rPr>
                <w:rFonts w:ascii="Times New Roman" w:eastAsia="Calibri" w:hAnsi="Times New Roman" w:cs="Times New Roman"/>
                <w:bCs/>
                <w:spacing w:val="-2"/>
              </w:rPr>
              <w:t>s</w:t>
            </w:r>
            <w:r w:rsidR="00ED4C44" w:rsidRPr="00ED4C44">
              <w:rPr>
                <w:rFonts w:ascii="Times New Roman" w:hAnsi="Times New Roman" w:cs="Times New Roman"/>
              </w:rPr>
              <w:t xml:space="preserve">kładającego wniosek, o którym mowa w § 4 ust. 1 albo dokonującego zgłoszenia, o którym mowa w § 5 ust. 1, </w:t>
            </w:r>
            <w:r w:rsidRPr="00ED4C44">
              <w:rPr>
                <w:rFonts w:ascii="Times New Roman" w:eastAsia="Calibri" w:hAnsi="Times New Roman" w:cs="Times New Roman"/>
                <w:bCs/>
                <w:spacing w:val="-2"/>
              </w:rPr>
              <w:t>zostały ujęte w § 7.</w:t>
            </w:r>
          </w:p>
          <w:p w14:paraId="2C995572" w14:textId="77777777" w:rsidR="00023536" w:rsidRPr="00ED4C44" w:rsidRDefault="0002353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</w:p>
          <w:p w14:paraId="36CE0076" w14:textId="364F6BC5" w:rsidR="005206A9" w:rsidRPr="00ED4C44" w:rsidRDefault="005206A9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  <w:r w:rsidRPr="00ED4C44">
              <w:rPr>
                <w:rFonts w:ascii="Times New Roman" w:eastAsia="Calibri" w:hAnsi="Times New Roman" w:cs="Times New Roman"/>
                <w:bCs/>
                <w:spacing w:val="-2"/>
              </w:rPr>
              <w:t xml:space="preserve"> Sposób uwierzytelnienia określa § 8 projektowanego rozporządzenia i przewiduje on, odnośnie do osoby fizycznej, jeden z trzech sposobów uwierzytelnienia.</w:t>
            </w:r>
            <w:r w:rsidR="000F20CE" w:rsidRPr="00ED4C44">
              <w:rPr>
                <w:rFonts w:ascii="Times New Roman" w:hAnsi="Times New Roman" w:cs="Times New Roman"/>
              </w:rPr>
              <w:t xml:space="preserve"> </w:t>
            </w:r>
            <w:r w:rsidR="000F20CE" w:rsidRPr="00ED4C44">
              <w:rPr>
                <w:rFonts w:ascii="Times New Roman" w:eastAsia="Calibri" w:hAnsi="Times New Roman" w:cs="Times New Roman"/>
                <w:bCs/>
                <w:spacing w:val="-2"/>
              </w:rPr>
              <w:t xml:space="preserve">Natomiast dla podmiotu publicznego przewidziano uwierzytelnienie się tylko w jeden sposób uwierzytelnienia. </w:t>
            </w:r>
          </w:p>
          <w:p w14:paraId="1AABFF3F" w14:textId="77777777" w:rsidR="005206A9" w:rsidRPr="00FF49CD" w:rsidRDefault="005206A9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  <w:highlight w:val="yellow"/>
              </w:rPr>
            </w:pPr>
          </w:p>
          <w:p w14:paraId="42B0FDA7" w14:textId="472C9A06" w:rsidR="001A5CC6" w:rsidRPr="00ED4C44" w:rsidRDefault="004E2DBD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  <w:r w:rsidRPr="00ED4C44">
              <w:rPr>
                <w:rFonts w:ascii="Times New Roman" w:eastAsia="Calibri" w:hAnsi="Times New Roman" w:cs="Times New Roman"/>
                <w:bCs/>
                <w:spacing w:val="-2"/>
              </w:rPr>
              <w:t xml:space="preserve">W § 9 uregulowano zasady udostępniania spraw w portalu informacyjnym, zaś w § 10 </w:t>
            </w:r>
            <w:r w:rsidR="005B0AC3">
              <w:rPr>
                <w:rFonts w:ascii="Times New Roman" w:eastAsia="Calibri" w:hAnsi="Times New Roman" w:cs="Times New Roman"/>
                <w:bCs/>
                <w:spacing w:val="-2"/>
              </w:rPr>
              <w:t xml:space="preserve">wskazano </w:t>
            </w:r>
            <w:r w:rsidR="00ED4C44" w:rsidRPr="00ED4C44">
              <w:rPr>
                <w:rFonts w:ascii="Times New Roman" w:eastAsia="Calibri" w:hAnsi="Times New Roman" w:cs="Times New Roman"/>
                <w:bCs/>
                <w:spacing w:val="-2"/>
              </w:rPr>
              <w:t>w</w:t>
            </w:r>
            <w:r w:rsidR="005B0AC3">
              <w:rPr>
                <w:rFonts w:ascii="Times New Roman" w:eastAsia="Calibri" w:hAnsi="Times New Roman" w:cs="Times New Roman"/>
                <w:bCs/>
                <w:spacing w:val="-2"/>
              </w:rPr>
              <w:t> </w:t>
            </w:r>
            <w:r w:rsidR="00ED4C44" w:rsidRPr="00ED4C44">
              <w:rPr>
                <w:rFonts w:ascii="Times New Roman" w:eastAsia="Calibri" w:hAnsi="Times New Roman" w:cs="Times New Roman"/>
                <w:bCs/>
                <w:spacing w:val="-2"/>
              </w:rPr>
              <w:t>jakim czasie  udostępnia się protokół w portalu informacyjnym</w:t>
            </w:r>
            <w:r w:rsidRPr="00ED4C44">
              <w:rPr>
                <w:rFonts w:ascii="Times New Roman" w:eastAsia="Calibri" w:hAnsi="Times New Roman" w:cs="Times New Roman"/>
                <w:bCs/>
                <w:spacing w:val="-2"/>
              </w:rPr>
              <w:t xml:space="preserve">. </w:t>
            </w:r>
          </w:p>
          <w:p w14:paraId="43580D71" w14:textId="77777777" w:rsidR="004E2DBD" w:rsidRPr="00FF49CD" w:rsidRDefault="004E2DBD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  <w:highlight w:val="yellow"/>
              </w:rPr>
            </w:pPr>
          </w:p>
          <w:p w14:paraId="55BE4525" w14:textId="283B26BC" w:rsidR="001A5CC6" w:rsidRPr="00506152" w:rsidRDefault="001A5CC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2"/>
              </w:rPr>
            </w:pPr>
            <w:r w:rsidRPr="005B0AC3">
              <w:rPr>
                <w:rFonts w:ascii="Times New Roman" w:eastAsia="Calibri" w:hAnsi="Times New Roman" w:cs="Times New Roman"/>
                <w:bCs/>
                <w:spacing w:val="-2"/>
              </w:rPr>
              <w:t xml:space="preserve">Konto będzie mogło być </w:t>
            </w:r>
            <w:r w:rsidR="00556FB4" w:rsidRPr="005B0AC3">
              <w:rPr>
                <w:rFonts w:ascii="Times New Roman" w:eastAsia="Calibri" w:hAnsi="Times New Roman" w:cs="Times New Roman"/>
                <w:bCs/>
                <w:spacing w:val="-2"/>
              </w:rPr>
              <w:t>zlikwidowane</w:t>
            </w:r>
            <w:r w:rsidRPr="005B0AC3">
              <w:rPr>
                <w:rFonts w:ascii="Times New Roman" w:eastAsia="Calibri" w:hAnsi="Times New Roman" w:cs="Times New Roman"/>
                <w:bCs/>
                <w:spacing w:val="-2"/>
              </w:rPr>
              <w:t xml:space="preserve"> </w:t>
            </w:r>
            <w:r w:rsidR="005B0AC3" w:rsidRPr="005B0AC3">
              <w:rPr>
                <w:rFonts w:ascii="Times New Roman" w:eastAsia="Calibri" w:hAnsi="Times New Roman" w:cs="Times New Roman"/>
                <w:bCs/>
                <w:spacing w:val="-2"/>
              </w:rPr>
              <w:t xml:space="preserve">w sposób przedstawiony w </w:t>
            </w:r>
            <w:r w:rsidRPr="005B0AC3">
              <w:rPr>
                <w:rFonts w:ascii="Times New Roman" w:eastAsia="Calibri" w:hAnsi="Times New Roman" w:cs="Times New Roman"/>
                <w:bCs/>
                <w:spacing w:val="-2"/>
              </w:rPr>
              <w:t xml:space="preserve">§ </w:t>
            </w:r>
            <w:r w:rsidR="004E2DBD" w:rsidRPr="005B0AC3">
              <w:rPr>
                <w:rFonts w:ascii="Times New Roman" w:eastAsia="Calibri" w:hAnsi="Times New Roman" w:cs="Times New Roman"/>
                <w:bCs/>
                <w:spacing w:val="-2"/>
              </w:rPr>
              <w:t>1</w:t>
            </w:r>
            <w:r w:rsidR="005B0AC3" w:rsidRPr="005B0AC3">
              <w:rPr>
                <w:rFonts w:ascii="Times New Roman" w:eastAsia="Calibri" w:hAnsi="Times New Roman" w:cs="Times New Roman"/>
                <w:bCs/>
                <w:spacing w:val="-2"/>
              </w:rPr>
              <w:t>1</w:t>
            </w:r>
            <w:r w:rsidR="004E2DBD" w:rsidRPr="005B0AC3">
              <w:rPr>
                <w:rFonts w:ascii="Times New Roman" w:eastAsia="Calibri" w:hAnsi="Times New Roman" w:cs="Times New Roman"/>
                <w:bCs/>
                <w:spacing w:val="-2"/>
              </w:rPr>
              <w:t>, zaś w § 12 określono czas przechowywania danych spraw</w:t>
            </w:r>
            <w:r w:rsidR="005B0AC3" w:rsidRPr="005B0AC3">
              <w:rPr>
                <w:rFonts w:ascii="Times New Roman" w:eastAsia="Calibri" w:hAnsi="Times New Roman" w:cs="Times New Roman"/>
                <w:bCs/>
                <w:spacing w:val="-2"/>
              </w:rPr>
              <w:t>y</w:t>
            </w:r>
            <w:r w:rsidR="004E2DBD" w:rsidRPr="005B0AC3">
              <w:rPr>
                <w:rFonts w:ascii="Times New Roman" w:eastAsia="Calibri" w:hAnsi="Times New Roman" w:cs="Times New Roman"/>
                <w:bCs/>
                <w:spacing w:val="-2"/>
              </w:rPr>
              <w:t xml:space="preserve"> w portali informacyjnym.</w:t>
            </w:r>
          </w:p>
        </w:tc>
      </w:tr>
      <w:tr w:rsidR="00506152" w:rsidRPr="00506152" w14:paraId="5F88B07A" w14:textId="77777777" w:rsidTr="00AD738C">
        <w:trPr>
          <w:trHeight w:val="307"/>
        </w:trPr>
        <w:tc>
          <w:tcPr>
            <w:tcW w:w="5000" w:type="pct"/>
            <w:gridSpan w:val="26"/>
            <w:shd w:val="clear" w:color="auto" w:fill="99CCFF"/>
            <w:vAlign w:val="center"/>
          </w:tcPr>
          <w:p w14:paraId="764F6954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spacing w:val="-2"/>
              </w:rPr>
              <w:lastRenderedPageBreak/>
              <w:t>Jak problem został rozwiązany w innych krajach, w szczególności krajach członkowskich OECD/UE</w:t>
            </w: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>?</w:t>
            </w:r>
            <w:r w:rsidRPr="00506152">
              <w:rPr>
                <w:rFonts w:ascii="Times New Roman" w:eastAsia="Calibri" w:hAnsi="Times New Roman" w:cs="Times New Roman"/>
                <w:i/>
                <w:color w:val="000000"/>
              </w:rPr>
              <w:t xml:space="preserve"> </w:t>
            </w:r>
          </w:p>
        </w:tc>
      </w:tr>
      <w:tr w:rsidR="00506152" w:rsidRPr="00506152" w14:paraId="53CF9C9D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auto"/>
          </w:tcPr>
          <w:p w14:paraId="19E726FE" w14:textId="77777777" w:rsidR="00506152" w:rsidRPr="00506152" w:rsidRDefault="00506152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Projektowane rozwiązania ze względu na stopień szczegółowości nie były poddawane analizie </w:t>
            </w:r>
            <w:proofErr w:type="spellStart"/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prawnoporównawczej</w:t>
            </w:r>
            <w:proofErr w:type="spellEnd"/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.</w:t>
            </w:r>
          </w:p>
        </w:tc>
      </w:tr>
      <w:tr w:rsidR="00506152" w:rsidRPr="00506152" w14:paraId="568AB6C5" w14:textId="77777777" w:rsidTr="00AD738C">
        <w:trPr>
          <w:trHeight w:val="359"/>
        </w:trPr>
        <w:tc>
          <w:tcPr>
            <w:tcW w:w="5000" w:type="pct"/>
            <w:gridSpan w:val="26"/>
            <w:shd w:val="clear" w:color="auto" w:fill="99CCFF"/>
            <w:vAlign w:val="center"/>
          </w:tcPr>
          <w:p w14:paraId="5EB811AB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bookmarkStart w:id="3" w:name="_Hlk159324845"/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>Podmioty, na które oddziałuje projekt</w:t>
            </w:r>
            <w:bookmarkEnd w:id="3"/>
          </w:p>
        </w:tc>
      </w:tr>
      <w:tr w:rsidR="00F06EFA" w:rsidRPr="00506152" w14:paraId="6BD25401" w14:textId="77777777" w:rsidTr="007A5851">
        <w:trPr>
          <w:trHeight w:val="142"/>
        </w:trPr>
        <w:tc>
          <w:tcPr>
            <w:tcW w:w="992" w:type="pct"/>
            <w:gridSpan w:val="2"/>
            <w:shd w:val="clear" w:color="auto" w:fill="auto"/>
          </w:tcPr>
          <w:p w14:paraId="229281C1" w14:textId="77777777" w:rsidR="00506152" w:rsidRPr="00506152" w:rsidRDefault="00506152" w:rsidP="00506152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Grupa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698888F3" w14:textId="77777777" w:rsidR="00506152" w:rsidRPr="00506152" w:rsidRDefault="00506152" w:rsidP="00506152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Wielkość</w:t>
            </w:r>
          </w:p>
        </w:tc>
        <w:tc>
          <w:tcPr>
            <w:tcW w:w="1561" w:type="pct"/>
            <w:gridSpan w:val="10"/>
            <w:shd w:val="clear" w:color="auto" w:fill="auto"/>
          </w:tcPr>
          <w:p w14:paraId="35FAC931" w14:textId="77777777" w:rsidR="00506152" w:rsidRPr="00506152" w:rsidRDefault="00506152" w:rsidP="00506152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Źródło danych</w:t>
            </w:r>
            <w:r w:rsidRPr="00506152" w:rsidDel="00260F33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</w:t>
            </w:r>
          </w:p>
        </w:tc>
        <w:tc>
          <w:tcPr>
            <w:tcW w:w="1177" w:type="pct"/>
            <w:gridSpan w:val="7"/>
            <w:shd w:val="clear" w:color="auto" w:fill="auto"/>
          </w:tcPr>
          <w:p w14:paraId="71051A64" w14:textId="77777777" w:rsidR="00506152" w:rsidRPr="00506152" w:rsidRDefault="00506152" w:rsidP="00506152">
            <w:pPr>
              <w:spacing w:before="40"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Oddziaływanie</w:t>
            </w:r>
          </w:p>
        </w:tc>
      </w:tr>
      <w:tr w:rsidR="00F06EFA" w:rsidRPr="00506152" w14:paraId="6576AF42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18B9A49D" w14:textId="77777777" w:rsidR="009C3926" w:rsidRPr="00506152" w:rsidRDefault="009C3926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t>Adwokaci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24ECD33C" w14:textId="77777777" w:rsidR="009C3926" w:rsidRPr="00506152" w:rsidRDefault="009C392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26 359, w tym 21 444</w:t>
            </w:r>
          </w:p>
          <w:p w14:paraId="2C70611E" w14:textId="77777777" w:rsidR="009C3926" w:rsidRPr="00506152" w:rsidRDefault="009C392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wykonujących zawód</w:t>
            </w:r>
          </w:p>
          <w:p w14:paraId="6E4A77D7" w14:textId="77777777" w:rsidR="009C3926" w:rsidRPr="00506152" w:rsidRDefault="009C392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(stan na 30.12.2022)</w:t>
            </w:r>
          </w:p>
        </w:tc>
        <w:tc>
          <w:tcPr>
            <w:tcW w:w="1561" w:type="pct"/>
            <w:gridSpan w:val="10"/>
            <w:vMerge w:val="restart"/>
            <w:shd w:val="clear" w:color="auto" w:fill="auto"/>
            <w:vAlign w:val="center"/>
          </w:tcPr>
          <w:p w14:paraId="39E458EF" w14:textId="77777777" w:rsidR="009C3926" w:rsidRPr="00506152" w:rsidRDefault="009C392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Ministerstwo Sprawiedliwości</w:t>
            </w:r>
          </w:p>
        </w:tc>
        <w:tc>
          <w:tcPr>
            <w:tcW w:w="1177" w:type="pct"/>
            <w:gridSpan w:val="7"/>
            <w:vMerge w:val="restart"/>
            <w:shd w:val="clear" w:color="auto" w:fill="auto"/>
          </w:tcPr>
          <w:p w14:paraId="08349CF9" w14:textId="3ABD2E6E" w:rsidR="009C3926" w:rsidRPr="00506152" w:rsidRDefault="009C392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O</w:t>
            </w:r>
            <w:r w:rsidRPr="009C3926">
              <w:rPr>
                <w:rFonts w:ascii="Times New Roman" w:eastAsia="Calibri" w:hAnsi="Times New Roman" w:cs="Times New Roman"/>
                <w:color w:val="000000"/>
                <w:spacing w:val="-2"/>
              </w:rPr>
              <w:t>kreślenie trybu zakładania, udostępniania i likwidacji konta w portalu informacyjnym.</w:t>
            </w:r>
          </w:p>
        </w:tc>
      </w:tr>
      <w:tr w:rsidR="00F06EFA" w:rsidRPr="00506152" w14:paraId="67EA48B4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152E56AA" w14:textId="77777777" w:rsidR="009C3926" w:rsidRPr="00506152" w:rsidRDefault="009C3926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t>Radcowie prawni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2DBF6983" w14:textId="77777777" w:rsidR="009C3926" w:rsidRPr="00506152" w:rsidRDefault="009C392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51 669, w tym 40 159</w:t>
            </w:r>
          </w:p>
          <w:p w14:paraId="233F9172" w14:textId="77777777" w:rsidR="009C3926" w:rsidRPr="00506152" w:rsidRDefault="009C392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wykonujących zawód</w:t>
            </w:r>
          </w:p>
          <w:p w14:paraId="58BB877F" w14:textId="77777777" w:rsidR="009C3926" w:rsidRPr="00506152" w:rsidRDefault="009C392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(stan na 30.12.2022)</w:t>
            </w:r>
          </w:p>
        </w:tc>
        <w:tc>
          <w:tcPr>
            <w:tcW w:w="1561" w:type="pct"/>
            <w:gridSpan w:val="10"/>
            <w:vMerge/>
            <w:shd w:val="clear" w:color="auto" w:fill="auto"/>
            <w:vAlign w:val="center"/>
          </w:tcPr>
          <w:p w14:paraId="2D49FF1C" w14:textId="77777777" w:rsidR="009C3926" w:rsidRPr="00506152" w:rsidRDefault="009C392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0ACCA533" w14:textId="77777777" w:rsidR="009C3926" w:rsidRPr="00506152" w:rsidRDefault="009C392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F06EFA" w:rsidRPr="00506152" w14:paraId="45BEFFB9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4AF7F2FA" w14:textId="53C6109A" w:rsidR="009C3926" w:rsidRPr="00506152" w:rsidRDefault="009C3926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Rzecznicy patentowi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25314EE4" w14:textId="22D7095A" w:rsidR="009C3926" w:rsidRPr="00506152" w:rsidRDefault="00CF3951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940 </w:t>
            </w:r>
            <w:r w:rsidR="00C367EB">
              <w:rPr>
                <w:rFonts w:ascii="Times New Roman" w:eastAsia="Calibri" w:hAnsi="Times New Roman" w:cs="Times New Roman"/>
                <w:color w:val="000000"/>
                <w:spacing w:val="-2"/>
              </w:rPr>
              <w:t>osób (stan na 4.10.2023)</w:t>
            </w:r>
          </w:p>
        </w:tc>
        <w:tc>
          <w:tcPr>
            <w:tcW w:w="1561" w:type="pct"/>
            <w:gridSpan w:val="10"/>
            <w:shd w:val="clear" w:color="auto" w:fill="auto"/>
            <w:vAlign w:val="center"/>
          </w:tcPr>
          <w:p w14:paraId="6FAC5425" w14:textId="33695EF3" w:rsidR="009C3926" w:rsidRPr="00506152" w:rsidRDefault="00C367EB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Urząd Patentowy Rzeczypospolitej Polskiej</w:t>
            </w: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41250F0B" w14:textId="77777777" w:rsidR="009C3926" w:rsidRPr="00506152" w:rsidRDefault="009C392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F06EFA" w:rsidRPr="00506152" w14:paraId="5EABE1A0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61F93529" w14:textId="606E3D2E" w:rsidR="005100F8" w:rsidRDefault="005100F8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Prawnicy zagraniczni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30795431" w14:textId="4FF2F769" w:rsidR="005100F8" w:rsidRDefault="00BB43D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192 osób</w:t>
            </w:r>
          </w:p>
        </w:tc>
        <w:tc>
          <w:tcPr>
            <w:tcW w:w="1561" w:type="pct"/>
            <w:gridSpan w:val="10"/>
            <w:shd w:val="clear" w:color="auto" w:fill="auto"/>
            <w:vAlign w:val="center"/>
          </w:tcPr>
          <w:p w14:paraId="399F9DAA" w14:textId="1EC9E8A0" w:rsidR="005100F8" w:rsidRDefault="00BB43D6" w:rsidP="00F06E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Naczelna Rada Adwokacka, Krajowa Izba Radców Prawnych</w:t>
            </w: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3B704FA3" w14:textId="77777777" w:rsidR="005100F8" w:rsidRPr="00506152" w:rsidRDefault="005100F8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F06EFA" w:rsidRPr="00506152" w14:paraId="3E2A46C6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29C5F881" w14:textId="520DEE7E" w:rsidR="005100F8" w:rsidRDefault="005100F8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Instytucje uprawnione do prowadzenia mediacji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2ADB32A0" w14:textId="3CD68C7A" w:rsidR="005100F8" w:rsidRDefault="00E51B57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Liczba trudna do ustalenia</w:t>
            </w:r>
          </w:p>
        </w:tc>
        <w:tc>
          <w:tcPr>
            <w:tcW w:w="1561" w:type="pct"/>
            <w:gridSpan w:val="10"/>
            <w:shd w:val="clear" w:color="auto" w:fill="auto"/>
            <w:vAlign w:val="center"/>
          </w:tcPr>
          <w:p w14:paraId="3631DBB9" w14:textId="77777777" w:rsidR="005100F8" w:rsidRDefault="005100F8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31C71981" w14:textId="77777777" w:rsidR="005100F8" w:rsidRPr="00506152" w:rsidRDefault="005100F8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F06EFA" w:rsidRPr="00506152" w14:paraId="030FCC16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16A5F39F" w14:textId="618646B8" w:rsidR="005100F8" w:rsidRDefault="005100F8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lastRenderedPageBreak/>
              <w:t>Mediatorzy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777FE65C" w14:textId="3104EAAA" w:rsidR="005100F8" w:rsidRDefault="00E51B57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ok. 5000 osób</w:t>
            </w:r>
          </w:p>
        </w:tc>
        <w:tc>
          <w:tcPr>
            <w:tcW w:w="1561" w:type="pct"/>
            <w:gridSpan w:val="10"/>
            <w:shd w:val="clear" w:color="auto" w:fill="auto"/>
            <w:vAlign w:val="center"/>
          </w:tcPr>
          <w:p w14:paraId="00B56231" w14:textId="4284FD04" w:rsidR="005100F8" w:rsidRDefault="00E51B57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Ministerstwo Sprawiedliwości</w:t>
            </w: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4984B490" w14:textId="77777777" w:rsidR="005100F8" w:rsidRPr="00506152" w:rsidRDefault="005100F8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F06EFA" w:rsidRPr="00506152" w14:paraId="54D9CED7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45CBD317" w14:textId="5626586B" w:rsidR="00CB4A66" w:rsidRDefault="00CB4A66" w:rsidP="00CB4A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Komornicy sądowi</w:t>
            </w:r>
          </w:p>
        </w:tc>
        <w:tc>
          <w:tcPr>
            <w:tcW w:w="1271" w:type="pct"/>
            <w:gridSpan w:val="7"/>
            <w:shd w:val="clear" w:color="auto" w:fill="auto"/>
            <w:vAlign w:val="center"/>
          </w:tcPr>
          <w:p w14:paraId="376DFA50" w14:textId="6FB4E5FB" w:rsidR="00CB4A66" w:rsidRDefault="00B96ADA" w:rsidP="00CB4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B96ADA">
              <w:rPr>
                <w:rFonts w:ascii="Times New Roman" w:hAnsi="Times New Roman"/>
                <w:color w:val="000000"/>
                <w:spacing w:val="-2"/>
              </w:rPr>
              <w:t xml:space="preserve">2198 </w:t>
            </w:r>
            <w:r w:rsidR="00387341">
              <w:rPr>
                <w:rFonts w:ascii="Times New Roman" w:hAnsi="Times New Roman"/>
                <w:color w:val="000000"/>
                <w:spacing w:val="-2"/>
              </w:rPr>
              <w:t>osób</w:t>
            </w:r>
          </w:p>
        </w:tc>
        <w:tc>
          <w:tcPr>
            <w:tcW w:w="1561" w:type="pct"/>
            <w:gridSpan w:val="10"/>
            <w:shd w:val="clear" w:color="auto" w:fill="auto"/>
            <w:vAlign w:val="center"/>
          </w:tcPr>
          <w:p w14:paraId="1128AA8E" w14:textId="0F23AA5C" w:rsidR="00CB4A66" w:rsidRDefault="00387341" w:rsidP="00CB4A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hAnsi="Times New Roman"/>
                <w:color w:val="000000"/>
                <w:spacing w:val="-2"/>
              </w:rPr>
              <w:t>Krajowa Rada Komornicza</w:t>
            </w: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6023B4BE" w14:textId="77777777" w:rsidR="00CB4A66" w:rsidRPr="00506152" w:rsidRDefault="00CB4A66" w:rsidP="00CB4A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F06EFA" w:rsidRPr="00506152" w14:paraId="3E15A81F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3E8FE9C3" w14:textId="663F84AB" w:rsidR="000C27A6" w:rsidRDefault="000C27A6" w:rsidP="000C27A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Biegli sądowi</w:t>
            </w:r>
          </w:p>
        </w:tc>
        <w:tc>
          <w:tcPr>
            <w:tcW w:w="1271" w:type="pct"/>
            <w:gridSpan w:val="7"/>
            <w:shd w:val="clear" w:color="auto" w:fill="auto"/>
            <w:vAlign w:val="center"/>
          </w:tcPr>
          <w:p w14:paraId="3207AE17" w14:textId="03679A85" w:rsidR="000C27A6" w:rsidRDefault="000C27A6" w:rsidP="000C27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D93FBD">
              <w:rPr>
                <w:rFonts w:ascii="Times New Roman" w:hAnsi="Times New Roman"/>
                <w:color w:val="000000"/>
                <w:spacing w:val="-2"/>
              </w:rPr>
              <w:t xml:space="preserve">ok. </w:t>
            </w:r>
            <w:r w:rsidRPr="000C27A6">
              <w:rPr>
                <w:rFonts w:ascii="Times New Roman" w:hAnsi="Times New Roman"/>
                <w:color w:val="000000"/>
                <w:spacing w:val="-2"/>
              </w:rPr>
              <w:t>11</w:t>
            </w:r>
            <w:r w:rsidR="00CB4A66">
              <w:rPr>
                <w:rFonts w:ascii="Times New Roman" w:hAnsi="Times New Roman"/>
                <w:color w:val="000000"/>
                <w:spacing w:val="-2"/>
              </w:rPr>
              <w:t xml:space="preserve"> </w:t>
            </w:r>
            <w:r w:rsidRPr="000C27A6">
              <w:rPr>
                <w:rFonts w:ascii="Times New Roman" w:hAnsi="Times New Roman"/>
                <w:color w:val="000000"/>
                <w:spacing w:val="-2"/>
              </w:rPr>
              <w:t>077</w:t>
            </w:r>
            <w:r w:rsidR="00CB4A66">
              <w:rPr>
                <w:rFonts w:ascii="Times New Roman" w:hAnsi="Times New Roman"/>
                <w:color w:val="000000"/>
                <w:spacing w:val="-2"/>
              </w:rPr>
              <w:t xml:space="preserve"> osób</w:t>
            </w:r>
          </w:p>
        </w:tc>
        <w:tc>
          <w:tcPr>
            <w:tcW w:w="1561" w:type="pct"/>
            <w:gridSpan w:val="10"/>
            <w:shd w:val="clear" w:color="auto" w:fill="auto"/>
            <w:vAlign w:val="center"/>
          </w:tcPr>
          <w:p w14:paraId="6BAE706F" w14:textId="3C0858CC" w:rsidR="000C27A6" w:rsidRDefault="000C27A6" w:rsidP="000C27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D93FBD">
              <w:rPr>
                <w:rFonts w:ascii="Times New Roman" w:hAnsi="Times New Roman"/>
                <w:color w:val="000000"/>
                <w:spacing w:val="-2"/>
              </w:rPr>
              <w:t xml:space="preserve">https://znajdzbieglego.com/pl/ dane z dnia </w:t>
            </w:r>
            <w:r>
              <w:rPr>
                <w:rFonts w:ascii="Times New Roman" w:hAnsi="Times New Roman"/>
                <w:color w:val="000000"/>
                <w:spacing w:val="-2"/>
              </w:rPr>
              <w:t>21.02</w:t>
            </w:r>
            <w:r w:rsidRPr="00D93FBD">
              <w:rPr>
                <w:rFonts w:ascii="Times New Roman" w:hAnsi="Times New Roman"/>
                <w:color w:val="000000"/>
                <w:spacing w:val="-2"/>
              </w:rPr>
              <w:t>.202</w:t>
            </w:r>
            <w:r>
              <w:rPr>
                <w:rFonts w:ascii="Times New Roman" w:hAnsi="Times New Roman"/>
                <w:color w:val="000000"/>
                <w:spacing w:val="-2"/>
              </w:rPr>
              <w:t>4</w:t>
            </w:r>
            <w:r w:rsidRPr="00D93FBD">
              <w:rPr>
                <w:rFonts w:ascii="Times New Roman" w:hAnsi="Times New Roman"/>
                <w:color w:val="000000"/>
                <w:spacing w:val="-2"/>
              </w:rPr>
              <w:t xml:space="preserve"> r.</w:t>
            </w: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1E1C487D" w14:textId="77777777" w:rsidR="000C27A6" w:rsidRPr="00506152" w:rsidRDefault="000C27A6" w:rsidP="000C27A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F06EFA" w:rsidRPr="00506152" w14:paraId="6D531F48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252F421F" w14:textId="10FDC93A" w:rsidR="009C3926" w:rsidRDefault="009C3926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Jednostki organizacyjne prokurat</w:t>
            </w:r>
            <w:r w:rsidR="00CF3951">
              <w:rPr>
                <w:rFonts w:ascii="Times New Roman" w:eastAsia="Calibri" w:hAnsi="Times New Roman" w:cs="Times New Roman"/>
                <w:color w:val="000000"/>
              </w:rPr>
              <w:t>u</w:t>
            </w:r>
            <w:r>
              <w:rPr>
                <w:rFonts w:ascii="Times New Roman" w:eastAsia="Calibri" w:hAnsi="Times New Roman" w:cs="Times New Roman"/>
                <w:color w:val="000000"/>
              </w:rPr>
              <w:t>ry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6EE30FD3" w14:textId="77777777" w:rsidR="00637B85" w:rsidRPr="00637B85" w:rsidRDefault="00637B85" w:rsidP="00637B85">
            <w:pPr>
              <w:spacing w:before="120" w:after="120" w:line="240" w:lineRule="auto"/>
              <w:ind w:left="252"/>
              <w:contextualSpacing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637B85">
              <w:rPr>
                <w:rFonts w:ascii="Times New Roman" w:eastAsia="Calibri" w:hAnsi="Times New Roman" w:cs="Times New Roman"/>
                <w:spacing w:val="-2"/>
              </w:rPr>
              <w:t>11 prokuratur regionalnych</w:t>
            </w:r>
          </w:p>
          <w:p w14:paraId="17E300C6" w14:textId="77777777" w:rsidR="00637B85" w:rsidRPr="00637B85" w:rsidRDefault="00637B85" w:rsidP="00637B85">
            <w:pPr>
              <w:spacing w:before="120" w:after="120" w:line="240" w:lineRule="auto"/>
              <w:ind w:left="252"/>
              <w:contextualSpacing/>
              <w:jc w:val="center"/>
              <w:rPr>
                <w:rFonts w:ascii="Times New Roman" w:eastAsia="Calibri" w:hAnsi="Times New Roman" w:cs="Times New Roman"/>
                <w:spacing w:val="-2"/>
              </w:rPr>
            </w:pPr>
            <w:r w:rsidRPr="00637B85">
              <w:rPr>
                <w:rFonts w:ascii="Times New Roman" w:eastAsia="Calibri" w:hAnsi="Times New Roman" w:cs="Times New Roman"/>
                <w:spacing w:val="-2"/>
              </w:rPr>
              <w:t>46 prokuratur okręgowych</w:t>
            </w:r>
          </w:p>
          <w:p w14:paraId="210857E9" w14:textId="1DFDD1A0" w:rsidR="009C3926" w:rsidRPr="00506152" w:rsidRDefault="00637B85" w:rsidP="00637B85">
            <w:pPr>
              <w:spacing w:before="120" w:after="120" w:line="240" w:lineRule="auto"/>
              <w:ind w:left="252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637B85">
              <w:rPr>
                <w:rFonts w:ascii="Times New Roman" w:eastAsia="Calibri" w:hAnsi="Times New Roman" w:cs="Times New Roman"/>
                <w:spacing w:val="-2"/>
              </w:rPr>
              <w:t>358 prokuratur rejonowych</w:t>
            </w:r>
          </w:p>
        </w:tc>
        <w:tc>
          <w:tcPr>
            <w:tcW w:w="1561" w:type="pct"/>
            <w:gridSpan w:val="10"/>
            <w:shd w:val="clear" w:color="auto" w:fill="auto"/>
            <w:vAlign w:val="center"/>
          </w:tcPr>
          <w:p w14:paraId="58214568" w14:textId="3F55E076" w:rsidR="009C3926" w:rsidRPr="00506152" w:rsidRDefault="00637B85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Ministerstwo Sprawiedliwości</w:t>
            </w: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0F7096BA" w14:textId="77777777" w:rsidR="009C3926" w:rsidRPr="00506152" w:rsidRDefault="009C392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F06EFA" w:rsidRPr="00506152" w14:paraId="4FC037D8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358C75F7" w14:textId="343644AB" w:rsidR="009C3926" w:rsidRDefault="009C3926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Prokuratoria Generalna</w:t>
            </w:r>
            <w:r w:rsidR="00556FB4">
              <w:rPr>
                <w:rFonts w:ascii="Times New Roman" w:eastAsia="Calibri" w:hAnsi="Times New Roman" w:cs="Times New Roman"/>
                <w:color w:val="000000"/>
              </w:rPr>
              <w:t xml:space="preserve"> Rzeczypospolitej Polskiej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68964E15" w14:textId="731D7562" w:rsidR="009C3926" w:rsidRPr="00506152" w:rsidRDefault="00CF3951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1561" w:type="pct"/>
            <w:gridSpan w:val="10"/>
            <w:shd w:val="clear" w:color="auto" w:fill="auto"/>
            <w:vAlign w:val="center"/>
          </w:tcPr>
          <w:p w14:paraId="693E7529" w14:textId="55F9B74A" w:rsidR="009C3926" w:rsidRPr="00506152" w:rsidRDefault="00CF3951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Informacja ogólnodostępna</w:t>
            </w: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1C219790" w14:textId="77777777" w:rsidR="009C3926" w:rsidRPr="00506152" w:rsidRDefault="009C392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F06EFA" w:rsidRPr="00506152" w14:paraId="0C806F53" w14:textId="77777777" w:rsidTr="007A5851">
        <w:trPr>
          <w:trHeight w:val="448"/>
        </w:trPr>
        <w:tc>
          <w:tcPr>
            <w:tcW w:w="992" w:type="pct"/>
            <w:gridSpan w:val="2"/>
            <w:shd w:val="clear" w:color="auto" w:fill="auto"/>
          </w:tcPr>
          <w:p w14:paraId="3CD83479" w14:textId="77777777" w:rsidR="00943D4F" w:rsidRDefault="009C3926" w:rsidP="00943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Organy emerytalne</w:t>
            </w:r>
            <w:r w:rsidR="00943D4F">
              <w:rPr>
                <w:rFonts w:ascii="Times New Roman" w:eastAsia="Calibri" w:hAnsi="Times New Roman" w:cs="Times New Roman"/>
                <w:color w:val="000000"/>
              </w:rPr>
              <w:t>:</w:t>
            </w:r>
          </w:p>
          <w:p w14:paraId="1436096C" w14:textId="77777777" w:rsidR="00943D4F" w:rsidRDefault="00943D4F" w:rsidP="00943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 Zakład Ubezpieczeń Społecznych;</w:t>
            </w:r>
          </w:p>
          <w:p w14:paraId="141F62E3" w14:textId="77777777" w:rsidR="00943D4F" w:rsidRDefault="00943D4F" w:rsidP="00943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- </w:t>
            </w:r>
            <w:r w:rsidRPr="00943D4F">
              <w:rPr>
                <w:rFonts w:ascii="Times New Roman" w:eastAsia="Calibri" w:hAnsi="Times New Roman" w:cs="Times New Roman"/>
                <w:color w:val="000000"/>
              </w:rPr>
              <w:t>Kasa Rolniczego Ubezpieczenia Społecznego</w:t>
            </w:r>
          </w:p>
          <w:p w14:paraId="7DD54236" w14:textId="77777777" w:rsidR="00943D4F" w:rsidRDefault="00943D4F" w:rsidP="00943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- </w:t>
            </w:r>
            <w:r w:rsidRPr="00943D4F">
              <w:rPr>
                <w:rFonts w:ascii="Times New Roman" w:eastAsia="Calibri" w:hAnsi="Times New Roman" w:cs="Times New Roman"/>
                <w:color w:val="000000"/>
              </w:rPr>
              <w:t>Zakład Emerytalno-Rentowy MSWiA</w:t>
            </w:r>
          </w:p>
          <w:p w14:paraId="4EB9350F" w14:textId="77777777" w:rsidR="00943D4F" w:rsidRDefault="00943D4F" w:rsidP="00943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- </w:t>
            </w:r>
            <w:r w:rsidRPr="00943D4F">
              <w:rPr>
                <w:rFonts w:ascii="Times New Roman" w:eastAsia="Calibri" w:hAnsi="Times New Roman" w:cs="Times New Roman"/>
                <w:color w:val="000000"/>
              </w:rPr>
              <w:t>wojskowe biura emerytalne</w:t>
            </w:r>
          </w:p>
          <w:p w14:paraId="791B4CF2" w14:textId="11BC7D72" w:rsidR="00943D4F" w:rsidRPr="00943D4F" w:rsidRDefault="00943D4F" w:rsidP="00943D4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 xml:space="preserve">- </w:t>
            </w:r>
            <w:r w:rsidRPr="00943D4F">
              <w:rPr>
                <w:rFonts w:ascii="Times New Roman" w:eastAsia="Calibri" w:hAnsi="Times New Roman" w:cs="Times New Roman"/>
                <w:color w:val="000000"/>
              </w:rPr>
              <w:t>Biuro Emerytalne Służby Więziennej</w:t>
            </w:r>
          </w:p>
        </w:tc>
        <w:tc>
          <w:tcPr>
            <w:tcW w:w="1271" w:type="pct"/>
            <w:gridSpan w:val="7"/>
            <w:shd w:val="clear" w:color="auto" w:fill="auto"/>
          </w:tcPr>
          <w:p w14:paraId="3AF4929C" w14:textId="77777777" w:rsidR="009C3926" w:rsidRDefault="009C3926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6BD9A97E" w14:textId="77777777" w:rsidR="00F06EFA" w:rsidRDefault="00F06EFA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26A14489" w14:textId="77777777" w:rsidR="00F06EFA" w:rsidRDefault="00F06EFA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1079AE27" w14:textId="77777777" w:rsidR="00943D4F" w:rsidRDefault="00943D4F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1</w:t>
            </w:r>
          </w:p>
          <w:p w14:paraId="4BCB02DA" w14:textId="77777777" w:rsidR="00943D4F" w:rsidRDefault="00943D4F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5FAB7126" w14:textId="77777777" w:rsidR="00943D4F" w:rsidRDefault="00943D4F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1</w:t>
            </w:r>
          </w:p>
          <w:p w14:paraId="352A2E76" w14:textId="77777777" w:rsidR="00943D4F" w:rsidRDefault="00943D4F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3094E229" w14:textId="77777777" w:rsidR="00943D4F" w:rsidRDefault="00943D4F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46117FD7" w14:textId="77777777" w:rsidR="00943D4F" w:rsidRDefault="00943D4F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1</w:t>
            </w:r>
          </w:p>
          <w:p w14:paraId="5BD7EB1A" w14:textId="77777777" w:rsidR="00943D4F" w:rsidRDefault="00943D4F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464E6B09" w14:textId="77777777" w:rsidR="00943D4F" w:rsidRDefault="00943D4F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7D3CF25F" w14:textId="77777777" w:rsidR="00F06EFA" w:rsidRDefault="00F06EFA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5D6E0F33" w14:textId="77777777" w:rsidR="00F06EFA" w:rsidRDefault="00F06EFA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225A8E5A" w14:textId="77777777" w:rsidR="00943D4F" w:rsidRDefault="00943D4F" w:rsidP="00943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16</w:t>
            </w:r>
          </w:p>
          <w:p w14:paraId="1F5DF85D" w14:textId="77777777" w:rsidR="00943D4F" w:rsidRDefault="00943D4F" w:rsidP="00943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092C827A" w14:textId="77777777" w:rsidR="00F06EFA" w:rsidRDefault="00F06EFA" w:rsidP="00943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1FCDDFED" w14:textId="77777777" w:rsidR="00F06EFA" w:rsidRDefault="00F06EFA" w:rsidP="00943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  <w:p w14:paraId="2763D40E" w14:textId="0B964B27" w:rsidR="00943D4F" w:rsidRPr="00506152" w:rsidRDefault="00943D4F" w:rsidP="00943D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1</w:t>
            </w:r>
          </w:p>
        </w:tc>
        <w:tc>
          <w:tcPr>
            <w:tcW w:w="1561" w:type="pct"/>
            <w:gridSpan w:val="10"/>
            <w:shd w:val="clear" w:color="auto" w:fill="auto"/>
            <w:vAlign w:val="center"/>
          </w:tcPr>
          <w:p w14:paraId="3BCAE58B" w14:textId="748393C9" w:rsidR="009C3926" w:rsidRPr="00506152" w:rsidRDefault="00943D4F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Informacja ogólnodostępna</w:t>
            </w:r>
          </w:p>
        </w:tc>
        <w:tc>
          <w:tcPr>
            <w:tcW w:w="1177" w:type="pct"/>
            <w:gridSpan w:val="7"/>
            <w:vMerge/>
            <w:shd w:val="clear" w:color="auto" w:fill="auto"/>
          </w:tcPr>
          <w:p w14:paraId="71D4D1C5" w14:textId="77777777" w:rsidR="009C3926" w:rsidRPr="00506152" w:rsidRDefault="009C392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</w:p>
        </w:tc>
      </w:tr>
      <w:tr w:rsidR="00506152" w:rsidRPr="00506152" w14:paraId="6CF7B8C6" w14:textId="77777777" w:rsidTr="00AD738C">
        <w:trPr>
          <w:trHeight w:val="302"/>
        </w:trPr>
        <w:tc>
          <w:tcPr>
            <w:tcW w:w="5000" w:type="pct"/>
            <w:gridSpan w:val="26"/>
            <w:shd w:val="clear" w:color="auto" w:fill="99CCFF"/>
            <w:vAlign w:val="center"/>
          </w:tcPr>
          <w:p w14:paraId="48E75013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>Informacje na temat zakresu, czasu trwania i podsumowanie wyników konsultacji</w:t>
            </w:r>
          </w:p>
        </w:tc>
      </w:tr>
      <w:tr w:rsidR="00506152" w:rsidRPr="00506152" w14:paraId="064FB6AD" w14:textId="77777777" w:rsidTr="00AD738C">
        <w:trPr>
          <w:trHeight w:val="342"/>
        </w:trPr>
        <w:tc>
          <w:tcPr>
            <w:tcW w:w="5000" w:type="pct"/>
            <w:gridSpan w:val="26"/>
            <w:shd w:val="clear" w:color="auto" w:fill="FFFFFF"/>
          </w:tcPr>
          <w:p w14:paraId="2976E8D0" w14:textId="77777777" w:rsidR="00D42EF8" w:rsidRPr="00D42EF8" w:rsidRDefault="00D42EF8" w:rsidP="00D42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Projekt został udostępniony w Biuletynie Informacji Publicznej, zgodnie z art. 5 ustawy z dnia 7 lipca 2005 r. </w:t>
            </w:r>
            <w:r w:rsidRPr="00D42EF8">
              <w:rPr>
                <w:rFonts w:ascii="Times New Roman" w:eastAsia="Calibri" w:hAnsi="Times New Roman" w:cs="Times New Roman"/>
                <w:i/>
                <w:iCs/>
                <w:shd w:val="clear" w:color="auto" w:fill="FFFFFF"/>
              </w:rPr>
              <w:t>o działalności lobbingowej w procesie stanowienia prawa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(Dz. U. z 2017 r. poz. 248) oraz w Biuletynie Informacji Publicznej Rządowego Centrum Legislacji, zgodnie z § 52 uchwały nr 190 Rady Ministrów z dnia 29 października 2013 r. – </w:t>
            </w:r>
            <w:r w:rsidRPr="00D42EF8">
              <w:rPr>
                <w:rFonts w:ascii="Times New Roman" w:eastAsia="Calibri" w:hAnsi="Times New Roman" w:cs="Times New Roman"/>
                <w:i/>
                <w:iCs/>
                <w:shd w:val="clear" w:color="auto" w:fill="FFFFFF"/>
              </w:rPr>
              <w:t>Regulamin pracy Rady Ministrów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(M. P. z 2022 r. poz. 348). </w:t>
            </w:r>
            <w:r w:rsidRPr="00D42EF8">
              <w:rPr>
                <w:rFonts w:ascii="Times New Roman" w:eastAsia="Calibri" w:hAnsi="Times New Roman" w:cs="Times New Roman"/>
                <w:color w:val="000000"/>
                <w:spacing w:val="-2"/>
              </w:rPr>
              <w:t>Nie wpłynęły zgłoszenia zainteresowania pracami nad projektem rozporządzenia w trybie wspomnianej ustawy.</w:t>
            </w:r>
          </w:p>
          <w:p w14:paraId="51CE29BC" w14:textId="77777777" w:rsidR="00D42EF8" w:rsidRPr="00D42EF8" w:rsidRDefault="00D42EF8" w:rsidP="00D42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  <w:p w14:paraId="6D23F7A6" w14:textId="21C2F3B0" w:rsidR="00D42EF8" w:rsidRPr="00D42EF8" w:rsidRDefault="00D42EF8" w:rsidP="00D42EF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Projekt został przedstawiony do zaopiniowania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Krajowej Rad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zie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Sądownictwa,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Prezes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owi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Prokuratorii Generalnej Rzeczypospolitej Polskiej,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Prokurator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owi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Krajowe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mu,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Prezes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om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Sądów Apelacyjnych, Pierwsze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mu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Prezes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owi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Sądu Najwyższego,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Prezes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owi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Urzędu Ochrony Danych Osobowych i Prezes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owi </w:t>
            </w:r>
            <w:r w:rsidR="000030F1" w:rsidRPr="00CA144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Urzędu Patentowego.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Uwagi</w:t>
            </w:r>
            <w:r w:rsidR="003E7F10" w:rsidRPr="00CA1445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Prezesa Urzędu Ochrony Danych Osobowych, Prokuratora Krajowego, Prezesa Sądu Apelacyjnego we Wrocławiu i Prezesa Prokuratorii Generalnej Rzeczypospolitej Polskiej</w:t>
            </w:r>
            <w:r w:rsidR="003E7F10" w:rsidRPr="003E7F10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zostały częściowo uwzględnione albo wyjaśnione. </w:t>
            </w:r>
          </w:p>
          <w:p w14:paraId="17E079CB" w14:textId="77777777" w:rsidR="00D42EF8" w:rsidRPr="00D42EF8" w:rsidRDefault="00D42EF8" w:rsidP="00D42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hd w:val="clear" w:color="auto" w:fill="FFFFFF"/>
              </w:rPr>
            </w:pPr>
          </w:p>
          <w:p w14:paraId="767875E5" w14:textId="7436383D" w:rsidR="00D42EF8" w:rsidRPr="00506152" w:rsidRDefault="00D42EF8" w:rsidP="00F06E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W ramach konsultacji publicznych projekt przekazano do: Krajow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ej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Izb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y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Radców Prawnych,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Naczeln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ej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Rad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y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Adwokack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iej,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Polsk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iej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Izb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y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Rzeczników Patentowych,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Stowarzyszeni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a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Sędziów Polskich „</w:t>
            </w:r>
            <w:proofErr w:type="spellStart"/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Iustitia</w:t>
            </w:r>
            <w:proofErr w:type="spellEnd"/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”,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Stowarzyszeni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a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Sędziów „</w:t>
            </w:r>
            <w:proofErr w:type="spellStart"/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Themis</w:t>
            </w:r>
            <w:proofErr w:type="spellEnd"/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”,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Ogólnopolskie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go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Stowarzyszeni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a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Referendarzy Sądowych,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Stowarzyszeni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a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Referendarzy Sądowych „LEX IUSTA”,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Porozumieni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a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lastRenderedPageBreak/>
              <w:t>Samorządów Zawodowych i Stowarzyszeń Prawniczych,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Fundacj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i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Polskie Towarzystwo Prawnicze OPUS IURIS,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Polski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ego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Związk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u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Pracodawców Prawniczych, Stowarzyszeni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a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Prawnicy dla Polski,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Helsińsk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iej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Fundacj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i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Praw Człowieka,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Fundacj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i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Panoptykon,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Fundacj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i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Court Watch Polska,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Fundacj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i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Ordo Iuris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i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Fundacj</w:t>
            </w:r>
            <w:r>
              <w:rPr>
                <w:rFonts w:ascii="Times New Roman" w:eastAsia="Calibri" w:hAnsi="Times New Roman" w:cs="Times New Roman"/>
                <w:shd w:val="clear" w:color="auto" w:fill="FFFFFF"/>
              </w:rPr>
              <w:t>i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im. Stef</w:t>
            </w:r>
            <w:r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ana Batorego. </w:t>
            </w:r>
            <w:r w:rsidR="000030F1" w:rsidRPr="000030F1">
              <w:rPr>
                <w:rFonts w:ascii="Times New Roman" w:eastAsia="Calibri" w:hAnsi="Times New Roman" w:cs="Times New Roman"/>
                <w:shd w:val="clear" w:color="auto" w:fill="FFFFFF"/>
              </w:rPr>
              <w:t>Konfederacja Lewiatan, Polska Izba Rzeczników Patentowych oraz po terminie Krajowa Rada Radców Prawnych zgłosili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uwagi. Uwagi dwóch pierwszych podmiotów zostały 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uwzględnione</w:t>
            </w:r>
            <w:r w:rsidR="000030F1">
              <w:rPr>
                <w:rFonts w:ascii="Times New Roman" w:eastAsia="Calibri" w:hAnsi="Times New Roman" w:cs="Times New Roman"/>
                <w:shd w:val="clear" w:color="auto" w:fill="FFFFFF"/>
              </w:rPr>
              <w:t xml:space="preserve"> w całości</w:t>
            </w:r>
            <w:r w:rsidRPr="00D42EF8">
              <w:rPr>
                <w:rFonts w:ascii="Times New Roman" w:eastAsia="Calibri" w:hAnsi="Times New Roman" w:cs="Times New Roman"/>
                <w:shd w:val="clear" w:color="auto" w:fill="FFFFFF"/>
              </w:rPr>
              <w:t>.</w:t>
            </w:r>
          </w:p>
        </w:tc>
      </w:tr>
      <w:tr w:rsidR="00506152" w:rsidRPr="00506152" w14:paraId="496E2380" w14:textId="77777777" w:rsidTr="00AD738C">
        <w:trPr>
          <w:trHeight w:val="363"/>
        </w:trPr>
        <w:tc>
          <w:tcPr>
            <w:tcW w:w="5000" w:type="pct"/>
            <w:gridSpan w:val="26"/>
            <w:shd w:val="clear" w:color="auto" w:fill="99CCFF"/>
            <w:vAlign w:val="center"/>
          </w:tcPr>
          <w:p w14:paraId="3B1FAE4A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 xml:space="preserve"> Wpływ na sektor finansów publicznych</w:t>
            </w:r>
          </w:p>
        </w:tc>
      </w:tr>
      <w:tr w:rsidR="00506152" w:rsidRPr="00506152" w14:paraId="5C3E0C7E" w14:textId="77777777" w:rsidTr="00F06EFA">
        <w:trPr>
          <w:trHeight w:val="142"/>
        </w:trPr>
        <w:tc>
          <w:tcPr>
            <w:tcW w:w="1571" w:type="pct"/>
            <w:gridSpan w:val="4"/>
            <w:vMerge w:val="restart"/>
            <w:shd w:val="clear" w:color="auto" w:fill="FFFFFF"/>
          </w:tcPr>
          <w:p w14:paraId="2154BE71" w14:textId="29E3DF6F" w:rsidR="00506152" w:rsidRPr="00506152" w:rsidRDefault="00506152" w:rsidP="00506152">
            <w:pPr>
              <w:spacing w:before="40" w:after="40" w:line="276" w:lineRule="auto"/>
              <w:rPr>
                <w:rFonts w:ascii="Times New Roman" w:eastAsia="Calibri" w:hAnsi="Times New Roman" w:cs="Times New Roman"/>
                <w:i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(ceny stałe z 202</w:t>
            </w:r>
            <w:r w:rsidR="00F06EFA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4</w:t>
            </w: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r.)</w:t>
            </w:r>
          </w:p>
        </w:tc>
        <w:tc>
          <w:tcPr>
            <w:tcW w:w="3429" w:type="pct"/>
            <w:gridSpan w:val="22"/>
            <w:shd w:val="clear" w:color="auto" w:fill="FFFFFF"/>
          </w:tcPr>
          <w:p w14:paraId="4B1ABFD4" w14:textId="77777777" w:rsidR="00506152" w:rsidRPr="00506152" w:rsidRDefault="00506152" w:rsidP="0050615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Skutki w okresie 10 lat od wejścia w życie zmian [mln zł]</w:t>
            </w:r>
          </w:p>
        </w:tc>
      </w:tr>
      <w:tr w:rsidR="00F06EFA" w:rsidRPr="00506152" w14:paraId="038E6766" w14:textId="77777777" w:rsidTr="00F06EFA">
        <w:trPr>
          <w:trHeight w:val="142"/>
        </w:trPr>
        <w:tc>
          <w:tcPr>
            <w:tcW w:w="1571" w:type="pct"/>
            <w:gridSpan w:val="4"/>
            <w:vMerge/>
            <w:shd w:val="clear" w:color="auto" w:fill="FFFFFF"/>
          </w:tcPr>
          <w:p w14:paraId="53722DDE" w14:textId="77777777" w:rsidR="00506152" w:rsidRPr="00506152" w:rsidRDefault="00506152" w:rsidP="00506152">
            <w:pPr>
              <w:spacing w:before="40" w:after="40" w:line="240" w:lineRule="auto"/>
              <w:rPr>
                <w:rFonts w:ascii="Times New Roman" w:eastAsia="Calibri" w:hAnsi="Times New Roman" w:cs="Times New Roman"/>
                <w:i/>
                <w:color w:val="000000"/>
                <w:sz w:val="21"/>
                <w:szCs w:val="21"/>
              </w:rPr>
            </w:pPr>
          </w:p>
        </w:tc>
        <w:tc>
          <w:tcPr>
            <w:tcW w:w="329" w:type="pct"/>
            <w:gridSpan w:val="2"/>
            <w:shd w:val="clear" w:color="auto" w:fill="FFFFFF"/>
          </w:tcPr>
          <w:p w14:paraId="5E566D4C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34ABD9AC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3FCA65E3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315" w:type="pct"/>
            <w:shd w:val="clear" w:color="auto" w:fill="FFFFFF"/>
          </w:tcPr>
          <w:p w14:paraId="52B39D77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4FACBC91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30CAD474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249" w:type="pct"/>
            <w:shd w:val="clear" w:color="auto" w:fill="FFFFFF"/>
          </w:tcPr>
          <w:p w14:paraId="70452E72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6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2913B01F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7</w:t>
            </w:r>
          </w:p>
        </w:tc>
        <w:tc>
          <w:tcPr>
            <w:tcW w:w="177" w:type="pct"/>
            <w:shd w:val="clear" w:color="auto" w:fill="FFFFFF"/>
          </w:tcPr>
          <w:p w14:paraId="73584D88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8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1DA3440F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9</w:t>
            </w:r>
          </w:p>
        </w:tc>
        <w:tc>
          <w:tcPr>
            <w:tcW w:w="235" w:type="pct"/>
            <w:shd w:val="clear" w:color="auto" w:fill="FFFFFF"/>
          </w:tcPr>
          <w:p w14:paraId="1B76AB6C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472" w:type="pct"/>
            <w:shd w:val="clear" w:color="auto" w:fill="FFFFFF"/>
          </w:tcPr>
          <w:p w14:paraId="329B1C03" w14:textId="77777777" w:rsidR="00506152" w:rsidRPr="00506152" w:rsidRDefault="00506152" w:rsidP="00506152">
            <w:pPr>
              <w:spacing w:before="40" w:after="4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  <w:t>Łącznie (0-10)</w:t>
            </w:r>
          </w:p>
        </w:tc>
      </w:tr>
      <w:tr w:rsidR="00F06EFA" w:rsidRPr="00506152" w14:paraId="446E8001" w14:textId="77777777" w:rsidTr="00F06EFA">
        <w:trPr>
          <w:trHeight w:val="321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09217266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Dochody ogółem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632E6B53" w14:textId="077B625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06D838CE" w14:textId="2ABD9F0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3007EEA9" w14:textId="478B57D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3B5B893C" w14:textId="16E804B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41AC9358" w14:textId="5E092669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149D7AED" w14:textId="2A10D84F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78819569" w14:textId="611AA8B9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1E4DC9A5" w14:textId="56C7BBC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293D7305" w14:textId="477C148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35724382" w14:textId="7E2BE78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7B94B102" w14:textId="755D8B7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12579151" w14:textId="20BB5BD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F06EFA" w:rsidRPr="00506152" w14:paraId="6629EB2D" w14:textId="77777777" w:rsidTr="00F06EFA">
        <w:trPr>
          <w:trHeight w:val="321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5E318D50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2E0725EF" w14:textId="66FA6CE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6346FC91" w14:textId="3BD9B9E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3554301A" w14:textId="47B4B93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79C61EB9" w14:textId="2378D2C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409591C6" w14:textId="20136CC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4506286E" w14:textId="6347052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1849D317" w14:textId="10E5F5F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6333C5A3" w14:textId="4686E67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5431E577" w14:textId="125C840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193CEB9C" w14:textId="02413B2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5127904B" w14:textId="1B87661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75D7782A" w14:textId="4EBE652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F06EFA" w:rsidRPr="00506152" w14:paraId="50F44097" w14:textId="77777777" w:rsidTr="00F06EFA">
        <w:trPr>
          <w:trHeight w:val="344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71300A5E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5B0A9D00" w14:textId="3030F386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4135F5B9" w14:textId="35709A3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4E208330" w14:textId="7B31D64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50559F21" w14:textId="7E44F2DB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7FC694E5" w14:textId="6D3B5CC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004B0237" w14:textId="369E44D9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58A0B68B" w14:textId="5F1056F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2887E60A" w14:textId="40452A2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0090D2F2" w14:textId="2F0FF5F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4EF94210" w14:textId="228BC3E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4B6849D6" w14:textId="520847B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7AE57CDE" w14:textId="793C39A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F06EFA" w:rsidRPr="00506152" w14:paraId="144122C0" w14:textId="77777777" w:rsidTr="00F06EFA">
        <w:trPr>
          <w:trHeight w:val="344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455EC915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6054F781" w14:textId="60FB1D1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36A7F7A4" w14:textId="56C74360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64D41802" w14:textId="196356D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37A9DEDE" w14:textId="2617E8A6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0AD7B1D5" w14:textId="573FB73F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0FCE014A" w14:textId="70C406D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6D141D3E" w14:textId="52E9668F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37B2B78E" w14:textId="386E9406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5E3888F1" w14:textId="30FB2D9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39EA74E5" w14:textId="66E6B5F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72934BE1" w14:textId="4B4C87F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17D2FD03" w14:textId="22B37060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F06EFA" w:rsidRPr="00506152" w14:paraId="6770F47C" w14:textId="77777777" w:rsidTr="00F06EFA">
        <w:trPr>
          <w:trHeight w:val="330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21DEDE3E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Wydatki ogółem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7E00B6BA" w14:textId="1C97EB2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7C6F0556" w14:textId="2F07BC1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4A2CB98A" w14:textId="51AB2AE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30D6C25E" w14:textId="6B68948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39EB64D1" w14:textId="4265C19B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16878982" w14:textId="2B46F69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68B3030F" w14:textId="5CC028C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3689578D" w14:textId="0531881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4DF094CA" w14:textId="1E36A240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2188D7AF" w14:textId="3BE021D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19C7274C" w14:textId="207F362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083B5678" w14:textId="455D331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F06EFA" w:rsidRPr="00506152" w14:paraId="697F6744" w14:textId="77777777" w:rsidTr="00F06EFA">
        <w:trPr>
          <w:trHeight w:val="330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73603068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4C2DED2F" w14:textId="0B24EAF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18F0F107" w14:textId="047F7DF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6E5B61EC" w14:textId="2E9A9A6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42C88668" w14:textId="68B7BA0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21D91E5F" w14:textId="54C1295B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216EED24" w14:textId="5C6ED73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378C549F" w14:textId="46CDB5B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1D9729BC" w14:textId="583DBE8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4B28E032" w14:textId="7F6D4680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7A2DC244" w14:textId="7AF90D7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48829E51" w14:textId="37F0B34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56006DC1" w14:textId="44F6A55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F06EFA" w:rsidRPr="00506152" w14:paraId="110D4EA6" w14:textId="77777777" w:rsidTr="00F06EFA">
        <w:trPr>
          <w:trHeight w:val="351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57A999F5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20842851" w14:textId="22560D19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090B7CE0" w14:textId="1EFC553F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18C261DD" w14:textId="7C21D56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74310F82" w14:textId="6D8D81C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192CDF39" w14:textId="115C5DEE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697C3DE2" w14:textId="234278E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5E5EFF6F" w14:textId="41892E9B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7D7A3A95" w14:textId="53C23BE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55267098" w14:textId="107BFB8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3EBA6AD5" w14:textId="1868A09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10A151A3" w14:textId="23A1FCB6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17C58F0B" w14:textId="45316E2B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F06EFA" w:rsidRPr="00506152" w14:paraId="21B95810" w14:textId="77777777" w:rsidTr="00F06EFA">
        <w:trPr>
          <w:trHeight w:val="351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468EEBE1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73FBEBB4" w14:textId="5A4140F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228E57D9" w14:textId="62C0F17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49CCD242" w14:textId="130795C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51AB112E" w14:textId="2509D00E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2ABEFE6F" w14:textId="1F8C2D1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7C33B14D" w14:textId="4825D4D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6625D407" w14:textId="2F8FFA7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5443F086" w14:textId="5D80A2A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4D6F38AB" w14:textId="46B7B3D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3EDDD8DB" w14:textId="00E4C6D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5FD51024" w14:textId="63ACCE0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0BD912F7" w14:textId="145C3B9E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F06EFA" w:rsidRPr="00506152" w14:paraId="60666AA6" w14:textId="77777777" w:rsidTr="00F06EFA">
        <w:trPr>
          <w:trHeight w:val="360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5E74187B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  <w:sz w:val="21"/>
                <w:szCs w:val="21"/>
              </w:rPr>
              <w:t>Saldo ogółem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26DC0924" w14:textId="1466F9A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6257777A" w14:textId="5B478B89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508F7583" w14:textId="6E6F103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2A9BF589" w14:textId="43387E1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3C276588" w14:textId="5FAA4C4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4E6EE74D" w14:textId="6E62430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0FAC4719" w14:textId="7993A0E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5F30408E" w14:textId="2AEC87B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59296372" w14:textId="3AFE3EB0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23D900C8" w14:textId="66DA874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56FFAF81" w14:textId="7767DEC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29FCC035" w14:textId="3167E7A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F06EFA" w:rsidRPr="00506152" w14:paraId="7C264E58" w14:textId="77777777" w:rsidTr="00F06EFA">
        <w:trPr>
          <w:trHeight w:val="360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54164163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budżet państwa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74D7600F" w14:textId="4D839FE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058D0B46" w14:textId="67BD112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0EF63E98" w14:textId="35CD590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17CC0F9C" w14:textId="22BCE20B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0A7F849B" w14:textId="233C3A59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590ED2DF" w14:textId="4AB202A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28BCA76E" w14:textId="1DDE70A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686FE872" w14:textId="4F1EF69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2835542D" w14:textId="159CCA01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20EB185E" w14:textId="6883B85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761295B4" w14:textId="2043680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42060623" w14:textId="54FB8606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F06EFA" w:rsidRPr="00506152" w14:paraId="1359F1C8" w14:textId="77777777" w:rsidTr="00F06EFA">
        <w:trPr>
          <w:trHeight w:val="357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649879CE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JST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4885CD25" w14:textId="4D99676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501BE134" w14:textId="060E256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589B5CC9" w14:textId="21DC6B8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5B435D24" w14:textId="0A7E1A20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42590AEA" w14:textId="58972EE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6D048EDE" w14:textId="2A1C0FBE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62E9CF03" w14:textId="0A2FEC59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3EB78360" w14:textId="71E6851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2137D930" w14:textId="7B08A48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7693BBB5" w14:textId="77BF8A7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1C951494" w14:textId="6B8AC23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1E433521" w14:textId="52BA9B6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F06EFA" w:rsidRPr="00506152" w14:paraId="3AC243C0" w14:textId="77777777" w:rsidTr="00F06EFA">
        <w:trPr>
          <w:trHeight w:val="357"/>
        </w:trPr>
        <w:tc>
          <w:tcPr>
            <w:tcW w:w="1571" w:type="pct"/>
            <w:gridSpan w:val="4"/>
            <w:shd w:val="clear" w:color="auto" w:fill="FFFFFF"/>
            <w:vAlign w:val="center"/>
          </w:tcPr>
          <w:p w14:paraId="7C9D415F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pozostałe jednostki (oddzielnie)</w:t>
            </w:r>
          </w:p>
        </w:tc>
        <w:tc>
          <w:tcPr>
            <w:tcW w:w="329" w:type="pct"/>
            <w:gridSpan w:val="2"/>
            <w:shd w:val="clear" w:color="auto" w:fill="FFFFFF"/>
          </w:tcPr>
          <w:p w14:paraId="37E1D0CC" w14:textId="112002FB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2"/>
            <w:shd w:val="clear" w:color="auto" w:fill="FFFFFF"/>
          </w:tcPr>
          <w:p w14:paraId="6D14028A" w14:textId="141F0BA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00" w:type="pct"/>
            <w:gridSpan w:val="3"/>
            <w:shd w:val="clear" w:color="auto" w:fill="FFFFFF"/>
          </w:tcPr>
          <w:p w14:paraId="33B25F92" w14:textId="2016170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5" w:type="pct"/>
            <w:shd w:val="clear" w:color="auto" w:fill="FFFFFF"/>
          </w:tcPr>
          <w:p w14:paraId="5D092C32" w14:textId="1695AF86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18" w:type="pct"/>
            <w:gridSpan w:val="2"/>
            <w:shd w:val="clear" w:color="auto" w:fill="FFFFFF"/>
          </w:tcPr>
          <w:p w14:paraId="43F150EE" w14:textId="3AEFA4E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1BBAA157" w14:textId="1194AE6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49" w:type="pct"/>
            <w:shd w:val="clear" w:color="auto" w:fill="FFFFFF"/>
          </w:tcPr>
          <w:p w14:paraId="61CC4924" w14:textId="0FF3C970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2" w:type="pct"/>
            <w:gridSpan w:val="4"/>
            <w:shd w:val="clear" w:color="auto" w:fill="FFFFFF"/>
          </w:tcPr>
          <w:p w14:paraId="751ECF4E" w14:textId="338C06AA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shd w:val="clear" w:color="auto" w:fill="FFFFFF"/>
          </w:tcPr>
          <w:p w14:paraId="3A03CC63" w14:textId="1DE87CCE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77" w:type="pct"/>
            <w:gridSpan w:val="2"/>
            <w:shd w:val="clear" w:color="auto" w:fill="FFFFFF"/>
          </w:tcPr>
          <w:p w14:paraId="3EC4BEEB" w14:textId="0E9B52AE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235" w:type="pct"/>
            <w:shd w:val="clear" w:color="auto" w:fill="FFFFFF"/>
          </w:tcPr>
          <w:p w14:paraId="1CDD05C1" w14:textId="3E02DB1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6632826C" w14:textId="5BE89449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</w:tr>
      <w:tr w:rsidR="00506152" w:rsidRPr="00506152" w14:paraId="0AB734CD" w14:textId="77777777" w:rsidTr="00F06EFA">
        <w:trPr>
          <w:trHeight w:val="348"/>
        </w:trPr>
        <w:tc>
          <w:tcPr>
            <w:tcW w:w="1140" w:type="pct"/>
            <w:gridSpan w:val="3"/>
            <w:shd w:val="clear" w:color="auto" w:fill="FFFFFF"/>
            <w:vAlign w:val="center"/>
          </w:tcPr>
          <w:p w14:paraId="49ADE069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Źródła finansowania </w:t>
            </w:r>
          </w:p>
        </w:tc>
        <w:tc>
          <w:tcPr>
            <w:tcW w:w="3860" w:type="pct"/>
            <w:gridSpan w:val="23"/>
            <w:shd w:val="clear" w:color="auto" w:fill="FFFFFF"/>
            <w:vAlign w:val="center"/>
          </w:tcPr>
          <w:p w14:paraId="2E86F6CF" w14:textId="77777777" w:rsidR="00506152" w:rsidRPr="00506152" w:rsidRDefault="00506152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Projektowana zmiana nie wywoła skutków finansowych dla budżetu państwa i jednostek samorządu terytorialnego.</w:t>
            </w:r>
          </w:p>
        </w:tc>
      </w:tr>
      <w:tr w:rsidR="00506152" w:rsidRPr="00506152" w14:paraId="0FE4C67F" w14:textId="77777777" w:rsidTr="00F06EFA">
        <w:trPr>
          <w:trHeight w:val="279"/>
        </w:trPr>
        <w:tc>
          <w:tcPr>
            <w:tcW w:w="1140" w:type="pct"/>
            <w:gridSpan w:val="3"/>
            <w:shd w:val="clear" w:color="auto" w:fill="FFFFFF"/>
          </w:tcPr>
          <w:p w14:paraId="31714888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Dodatkowe informacje, w tym wskazanie źródeł danych i przyjętych do obliczeń założeń</w:t>
            </w:r>
          </w:p>
        </w:tc>
        <w:tc>
          <w:tcPr>
            <w:tcW w:w="3860" w:type="pct"/>
            <w:gridSpan w:val="23"/>
            <w:shd w:val="clear" w:color="auto" w:fill="FFFFFF"/>
          </w:tcPr>
          <w:p w14:paraId="61F85BC0" w14:textId="048D9482" w:rsidR="00506152" w:rsidRPr="00506152" w:rsidRDefault="007A5851" w:rsidP="00CF2C79">
            <w:pPr>
              <w:spacing w:after="6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-</w:t>
            </w:r>
          </w:p>
        </w:tc>
      </w:tr>
      <w:tr w:rsidR="00506152" w:rsidRPr="00506152" w14:paraId="44AE0F8E" w14:textId="77777777" w:rsidTr="00AD738C">
        <w:trPr>
          <w:trHeight w:val="345"/>
        </w:trPr>
        <w:tc>
          <w:tcPr>
            <w:tcW w:w="5000" w:type="pct"/>
            <w:gridSpan w:val="26"/>
            <w:shd w:val="clear" w:color="auto" w:fill="99CCFF"/>
          </w:tcPr>
          <w:p w14:paraId="569F9F45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Wpływ na </w:t>
            </w: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 xml:space="preserve">konkurencyjność gospodarki i przedsiębiorczość, w tym funkcjonowanie przedsiębiorców oraz na rodzinę, obywateli i gospodarstwa domowe </w:t>
            </w:r>
          </w:p>
        </w:tc>
      </w:tr>
      <w:tr w:rsidR="00506152" w:rsidRPr="00506152" w14:paraId="2511F7B0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FFFFFF"/>
          </w:tcPr>
          <w:p w14:paraId="64978D3B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Skutki</w:t>
            </w:r>
          </w:p>
        </w:tc>
      </w:tr>
      <w:tr w:rsidR="00F06EFA" w:rsidRPr="00506152" w14:paraId="0FD5EEC1" w14:textId="77777777" w:rsidTr="007A5851">
        <w:trPr>
          <w:trHeight w:val="142"/>
        </w:trPr>
        <w:tc>
          <w:tcPr>
            <w:tcW w:w="2022" w:type="pct"/>
            <w:gridSpan w:val="7"/>
            <w:shd w:val="clear" w:color="auto" w:fill="FFFFFF"/>
          </w:tcPr>
          <w:p w14:paraId="3D57D9F4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Czas w latach od wejścia w życie zmian</w:t>
            </w:r>
          </w:p>
        </w:tc>
        <w:tc>
          <w:tcPr>
            <w:tcW w:w="368" w:type="pct"/>
            <w:gridSpan w:val="3"/>
            <w:shd w:val="clear" w:color="auto" w:fill="FFFFFF"/>
          </w:tcPr>
          <w:p w14:paraId="6E513643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99" w:type="pct"/>
            <w:gridSpan w:val="3"/>
            <w:shd w:val="clear" w:color="auto" w:fill="FFFFFF"/>
          </w:tcPr>
          <w:p w14:paraId="3C9B9343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392" w:type="pct"/>
            <w:gridSpan w:val="2"/>
            <w:shd w:val="clear" w:color="auto" w:fill="FFFFFF"/>
          </w:tcPr>
          <w:p w14:paraId="376D52F9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469" w:type="pct"/>
            <w:gridSpan w:val="3"/>
            <w:shd w:val="clear" w:color="auto" w:fill="FFFFFF"/>
          </w:tcPr>
          <w:p w14:paraId="7814E7EE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52" w:type="pct"/>
            <w:gridSpan w:val="5"/>
            <w:shd w:val="clear" w:color="auto" w:fill="FFFFFF"/>
          </w:tcPr>
          <w:p w14:paraId="55128E9E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43F638A9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10</w:t>
            </w:r>
          </w:p>
        </w:tc>
        <w:tc>
          <w:tcPr>
            <w:tcW w:w="472" w:type="pct"/>
            <w:shd w:val="clear" w:color="auto" w:fill="FFFFFF"/>
          </w:tcPr>
          <w:p w14:paraId="57E88F7F" w14:textId="77777777" w:rsidR="00506152" w:rsidRPr="00506152" w:rsidRDefault="00506152" w:rsidP="0050615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  <w:t>Łącznie</w:t>
            </w:r>
            <w:r w:rsidRPr="00506152" w:rsidDel="0073273A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i/>
                <w:color w:val="000000"/>
                <w:spacing w:val="-2"/>
                <w:sz w:val="21"/>
                <w:szCs w:val="21"/>
              </w:rPr>
              <w:t>(0-10)</w:t>
            </w:r>
          </w:p>
        </w:tc>
      </w:tr>
      <w:tr w:rsidR="00F06EFA" w:rsidRPr="00506152" w14:paraId="70B39E46" w14:textId="77777777" w:rsidTr="007A5851">
        <w:trPr>
          <w:trHeight w:val="142"/>
        </w:trPr>
        <w:tc>
          <w:tcPr>
            <w:tcW w:w="807" w:type="pct"/>
            <w:vMerge w:val="restart"/>
            <w:shd w:val="clear" w:color="auto" w:fill="FFFFFF"/>
          </w:tcPr>
          <w:p w14:paraId="1D352002" w14:textId="77777777" w:rsidR="00506152" w:rsidRPr="00506152" w:rsidRDefault="00506152" w:rsidP="00506152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W ujęciu pieniężnym</w:t>
            </w:r>
          </w:p>
          <w:p w14:paraId="1A19A18E" w14:textId="77777777" w:rsidR="00506152" w:rsidRPr="00506152" w:rsidRDefault="00506152" w:rsidP="00506152">
            <w:pPr>
              <w:spacing w:after="0" w:line="276" w:lineRule="auto"/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t xml:space="preserve">(w mln zł, </w:t>
            </w:r>
          </w:p>
          <w:p w14:paraId="64577A3C" w14:textId="6A0AC0C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t>ceny stałe z 202</w:t>
            </w:r>
            <w:r w:rsidR="00F06EFA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t>4</w:t>
            </w:r>
            <w:r w:rsidRPr="00506152">
              <w:rPr>
                <w:rFonts w:ascii="Times New Roman" w:eastAsia="Calibri" w:hAnsi="Times New Roman" w:cs="Times New Roman"/>
                <w:spacing w:val="-2"/>
                <w:sz w:val="21"/>
                <w:szCs w:val="21"/>
              </w:rPr>
              <w:t xml:space="preserve"> r.)</w:t>
            </w:r>
          </w:p>
        </w:tc>
        <w:tc>
          <w:tcPr>
            <w:tcW w:w="1215" w:type="pct"/>
            <w:gridSpan w:val="6"/>
            <w:shd w:val="clear" w:color="auto" w:fill="FFFFFF"/>
          </w:tcPr>
          <w:p w14:paraId="0AF92BBD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368" w:type="pct"/>
            <w:gridSpan w:val="3"/>
            <w:shd w:val="clear" w:color="auto" w:fill="FFFFFF"/>
          </w:tcPr>
          <w:p w14:paraId="140FA045" w14:textId="45496E1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99" w:type="pct"/>
            <w:gridSpan w:val="3"/>
            <w:shd w:val="clear" w:color="auto" w:fill="FFFFFF"/>
          </w:tcPr>
          <w:p w14:paraId="368429CB" w14:textId="1F0410A8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92" w:type="pct"/>
            <w:gridSpan w:val="2"/>
            <w:shd w:val="clear" w:color="auto" w:fill="FFFFFF"/>
          </w:tcPr>
          <w:p w14:paraId="07442977" w14:textId="79FFCBC7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9" w:type="pct"/>
            <w:gridSpan w:val="3"/>
            <w:shd w:val="clear" w:color="auto" w:fill="FFFFFF"/>
          </w:tcPr>
          <w:p w14:paraId="5CF7701A" w14:textId="0713577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52" w:type="pct"/>
            <w:gridSpan w:val="5"/>
            <w:shd w:val="clear" w:color="auto" w:fill="FFFFFF"/>
          </w:tcPr>
          <w:p w14:paraId="1B94864A" w14:textId="0C0E9FB0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2BF08D7D" w14:textId="0FC66E6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4670CEA0" w14:textId="4A8704C5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F06EFA" w:rsidRPr="00506152" w14:paraId="69C104C8" w14:textId="77777777" w:rsidTr="007A5851">
        <w:trPr>
          <w:trHeight w:val="142"/>
        </w:trPr>
        <w:tc>
          <w:tcPr>
            <w:tcW w:w="807" w:type="pct"/>
            <w:vMerge/>
            <w:shd w:val="clear" w:color="auto" w:fill="FFFFFF"/>
          </w:tcPr>
          <w:p w14:paraId="35CBCE94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5" w:type="pct"/>
            <w:gridSpan w:val="6"/>
            <w:shd w:val="clear" w:color="auto" w:fill="FFFFFF"/>
          </w:tcPr>
          <w:p w14:paraId="66C0D403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368" w:type="pct"/>
            <w:gridSpan w:val="3"/>
            <w:shd w:val="clear" w:color="auto" w:fill="FFFFFF"/>
          </w:tcPr>
          <w:p w14:paraId="0E92658A" w14:textId="2D10D4C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99" w:type="pct"/>
            <w:gridSpan w:val="3"/>
            <w:shd w:val="clear" w:color="auto" w:fill="FFFFFF"/>
          </w:tcPr>
          <w:p w14:paraId="214E0892" w14:textId="4B372E9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92" w:type="pct"/>
            <w:gridSpan w:val="2"/>
            <w:shd w:val="clear" w:color="auto" w:fill="FFFFFF"/>
          </w:tcPr>
          <w:p w14:paraId="49AB8DAC" w14:textId="65398DD2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9" w:type="pct"/>
            <w:gridSpan w:val="3"/>
            <w:shd w:val="clear" w:color="auto" w:fill="FFFFFF"/>
          </w:tcPr>
          <w:p w14:paraId="5566E802" w14:textId="6496C51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52" w:type="pct"/>
            <w:gridSpan w:val="5"/>
            <w:shd w:val="clear" w:color="auto" w:fill="FFFFFF"/>
          </w:tcPr>
          <w:p w14:paraId="67DF7D79" w14:textId="2810CC4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03DD889E" w14:textId="3A23F04C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64CEB9F6" w14:textId="38CEC3BF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F06EFA" w:rsidRPr="00506152" w14:paraId="393C85BD" w14:textId="77777777" w:rsidTr="007A5851">
        <w:trPr>
          <w:trHeight w:val="142"/>
        </w:trPr>
        <w:tc>
          <w:tcPr>
            <w:tcW w:w="807" w:type="pct"/>
            <w:vMerge/>
            <w:shd w:val="clear" w:color="auto" w:fill="FFFFFF"/>
          </w:tcPr>
          <w:p w14:paraId="2CE15482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5" w:type="pct"/>
            <w:gridSpan w:val="6"/>
            <w:shd w:val="clear" w:color="auto" w:fill="FFFFFF"/>
          </w:tcPr>
          <w:p w14:paraId="5B73CFA0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sz w:val="21"/>
                <w:szCs w:val="21"/>
              </w:rPr>
              <w:t>rodzina, obywatele oraz gospodarstwa domowe</w:t>
            </w:r>
          </w:p>
        </w:tc>
        <w:tc>
          <w:tcPr>
            <w:tcW w:w="368" w:type="pct"/>
            <w:gridSpan w:val="3"/>
            <w:shd w:val="clear" w:color="auto" w:fill="FFFFFF"/>
          </w:tcPr>
          <w:p w14:paraId="04F10326" w14:textId="79C086A6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99" w:type="pct"/>
            <w:gridSpan w:val="3"/>
            <w:shd w:val="clear" w:color="auto" w:fill="FFFFFF"/>
          </w:tcPr>
          <w:p w14:paraId="2D126A00" w14:textId="69FA87C3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92" w:type="pct"/>
            <w:gridSpan w:val="2"/>
            <w:shd w:val="clear" w:color="auto" w:fill="FFFFFF"/>
          </w:tcPr>
          <w:p w14:paraId="36794762" w14:textId="6C02AD4B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69" w:type="pct"/>
            <w:gridSpan w:val="3"/>
            <w:shd w:val="clear" w:color="auto" w:fill="FFFFFF"/>
          </w:tcPr>
          <w:p w14:paraId="65B45C15" w14:textId="3DBF07B0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52" w:type="pct"/>
            <w:gridSpan w:val="5"/>
            <w:shd w:val="clear" w:color="auto" w:fill="FFFFFF"/>
          </w:tcPr>
          <w:p w14:paraId="533D7788" w14:textId="277A63A4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325" w:type="pct"/>
            <w:gridSpan w:val="2"/>
            <w:shd w:val="clear" w:color="auto" w:fill="FFFFFF"/>
          </w:tcPr>
          <w:p w14:paraId="781F7771" w14:textId="1D4D50DD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472" w:type="pct"/>
            <w:shd w:val="clear" w:color="auto" w:fill="FFFFFF"/>
          </w:tcPr>
          <w:p w14:paraId="6A361E7D" w14:textId="6F38497B" w:rsidR="00506152" w:rsidRPr="00506152" w:rsidRDefault="007A5851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0</w:t>
            </w:r>
          </w:p>
        </w:tc>
      </w:tr>
      <w:tr w:rsidR="00506152" w:rsidRPr="00506152" w14:paraId="5841759B" w14:textId="77777777" w:rsidTr="00F06EFA">
        <w:trPr>
          <w:trHeight w:val="142"/>
        </w:trPr>
        <w:tc>
          <w:tcPr>
            <w:tcW w:w="807" w:type="pct"/>
            <w:vMerge w:val="restart"/>
            <w:shd w:val="clear" w:color="auto" w:fill="FFFFFF"/>
          </w:tcPr>
          <w:p w14:paraId="61E385D1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W ujęciu niepieniężnym</w:t>
            </w:r>
          </w:p>
        </w:tc>
        <w:tc>
          <w:tcPr>
            <w:tcW w:w="1215" w:type="pct"/>
            <w:gridSpan w:val="6"/>
            <w:shd w:val="clear" w:color="auto" w:fill="FFFFFF"/>
          </w:tcPr>
          <w:p w14:paraId="70917AD0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duże przedsiębiorstwa</w:t>
            </w:r>
          </w:p>
        </w:tc>
        <w:tc>
          <w:tcPr>
            <w:tcW w:w="2978" w:type="pct"/>
            <w:gridSpan w:val="19"/>
            <w:shd w:val="clear" w:color="auto" w:fill="FFFFFF"/>
          </w:tcPr>
          <w:p w14:paraId="1821803D" w14:textId="77777777" w:rsidR="00506152" w:rsidRPr="00506152" w:rsidRDefault="00506152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Brak wpływu.</w:t>
            </w:r>
          </w:p>
        </w:tc>
      </w:tr>
      <w:tr w:rsidR="00506152" w:rsidRPr="00506152" w14:paraId="611FF35E" w14:textId="77777777" w:rsidTr="00F06EFA">
        <w:trPr>
          <w:trHeight w:val="142"/>
        </w:trPr>
        <w:tc>
          <w:tcPr>
            <w:tcW w:w="807" w:type="pct"/>
            <w:vMerge/>
            <w:shd w:val="clear" w:color="auto" w:fill="FFFFFF"/>
          </w:tcPr>
          <w:p w14:paraId="6249A628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5" w:type="pct"/>
            <w:gridSpan w:val="6"/>
            <w:shd w:val="clear" w:color="auto" w:fill="FFFFFF"/>
          </w:tcPr>
          <w:p w14:paraId="3E78271F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sektor mikro-, małych i średnich przedsiębiorstw</w:t>
            </w:r>
          </w:p>
        </w:tc>
        <w:tc>
          <w:tcPr>
            <w:tcW w:w="2978" w:type="pct"/>
            <w:gridSpan w:val="19"/>
            <w:shd w:val="clear" w:color="auto" w:fill="FFFFFF"/>
          </w:tcPr>
          <w:p w14:paraId="22819AE4" w14:textId="2FE4CA2B" w:rsidR="00506152" w:rsidRPr="00506152" w:rsidRDefault="006019F7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O</w:t>
            </w:r>
            <w:r w:rsidRPr="006019F7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kreślenie trybu zakładania, udostępniania i likwidacji konta w portalu informacyjnym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 xml:space="preserve"> przez </w:t>
            </w:r>
            <w:r w:rsidRPr="006019F7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adwokat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ów</w:t>
            </w:r>
            <w:r w:rsidRPr="006019F7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, radc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ów</w:t>
            </w:r>
            <w:r w:rsidRPr="006019F7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 xml:space="preserve"> prawny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 xml:space="preserve">ch i </w:t>
            </w:r>
            <w:r w:rsidRPr="006019F7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rzecznik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ów</w:t>
            </w:r>
            <w:r w:rsidRPr="006019F7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 xml:space="preserve"> patentowy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ch.</w:t>
            </w:r>
          </w:p>
        </w:tc>
      </w:tr>
      <w:tr w:rsidR="00506152" w:rsidRPr="00506152" w14:paraId="56E67911" w14:textId="77777777" w:rsidTr="00F06EFA">
        <w:trPr>
          <w:trHeight w:val="596"/>
        </w:trPr>
        <w:tc>
          <w:tcPr>
            <w:tcW w:w="807" w:type="pct"/>
            <w:vMerge/>
            <w:shd w:val="clear" w:color="auto" w:fill="FFFFFF"/>
          </w:tcPr>
          <w:p w14:paraId="21C8557C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215" w:type="pct"/>
            <w:gridSpan w:val="6"/>
            <w:shd w:val="clear" w:color="auto" w:fill="FFFFFF"/>
          </w:tcPr>
          <w:p w14:paraId="1D8444F3" w14:textId="77777777" w:rsidR="00506152" w:rsidRPr="00506152" w:rsidRDefault="00506152" w:rsidP="00506152">
            <w:pPr>
              <w:tabs>
                <w:tab w:val="right" w:pos="1936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sz w:val="21"/>
                <w:szCs w:val="21"/>
              </w:rPr>
              <w:t>rodzina, obywatele oraz gospodarstwa domowe</w:t>
            </w: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 </w:t>
            </w:r>
          </w:p>
        </w:tc>
        <w:tc>
          <w:tcPr>
            <w:tcW w:w="2978" w:type="pct"/>
            <w:gridSpan w:val="19"/>
            <w:shd w:val="clear" w:color="auto" w:fill="FFFFFF"/>
          </w:tcPr>
          <w:p w14:paraId="7655DC04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Brak wpływu.</w:t>
            </w:r>
          </w:p>
        </w:tc>
      </w:tr>
      <w:tr w:rsidR="00506152" w:rsidRPr="00506152" w14:paraId="450CFF11" w14:textId="77777777" w:rsidTr="00F06EFA">
        <w:trPr>
          <w:trHeight w:val="142"/>
        </w:trPr>
        <w:tc>
          <w:tcPr>
            <w:tcW w:w="807" w:type="pct"/>
            <w:shd w:val="clear" w:color="auto" w:fill="FFFFFF"/>
          </w:tcPr>
          <w:p w14:paraId="62BF6581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Niemierzalne</w:t>
            </w:r>
          </w:p>
        </w:tc>
        <w:tc>
          <w:tcPr>
            <w:tcW w:w="1215" w:type="pct"/>
            <w:gridSpan w:val="6"/>
            <w:shd w:val="clear" w:color="auto" w:fill="FFFFFF"/>
          </w:tcPr>
          <w:p w14:paraId="63A5E804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>rodzina, obywatele oraz gospodarstwa domowe, a także osoby z niepełnosprawnościami i osoby starsze</w:t>
            </w:r>
          </w:p>
        </w:tc>
        <w:tc>
          <w:tcPr>
            <w:tcW w:w="2978" w:type="pct"/>
            <w:gridSpan w:val="19"/>
            <w:shd w:val="clear" w:color="auto" w:fill="FFFFFF"/>
            <w:vAlign w:val="center"/>
          </w:tcPr>
          <w:p w14:paraId="6EC2DFB4" w14:textId="6A359688" w:rsidR="00506152" w:rsidRPr="00506152" w:rsidRDefault="006019F7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  <w:sz w:val="21"/>
                <w:szCs w:val="21"/>
              </w:rPr>
              <w:t>Brak wpływu.</w:t>
            </w:r>
          </w:p>
        </w:tc>
      </w:tr>
      <w:tr w:rsidR="00506152" w:rsidRPr="00506152" w14:paraId="12E34143" w14:textId="77777777" w:rsidTr="00F06EFA">
        <w:trPr>
          <w:trHeight w:val="1643"/>
        </w:trPr>
        <w:tc>
          <w:tcPr>
            <w:tcW w:w="1140" w:type="pct"/>
            <w:gridSpan w:val="3"/>
            <w:shd w:val="clear" w:color="auto" w:fill="FFFFFF"/>
          </w:tcPr>
          <w:p w14:paraId="1EA200A0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z w:val="21"/>
                <w:szCs w:val="21"/>
              </w:rPr>
              <w:t xml:space="preserve">Dodatkowe informacje, w tym wskazanie źródeł danych i przyjętych do obliczeń założeń </w:t>
            </w:r>
          </w:p>
        </w:tc>
        <w:tc>
          <w:tcPr>
            <w:tcW w:w="3860" w:type="pct"/>
            <w:gridSpan w:val="23"/>
            <w:shd w:val="clear" w:color="auto" w:fill="FFFFFF"/>
            <w:vAlign w:val="center"/>
          </w:tcPr>
          <w:p w14:paraId="47FEBE9C" w14:textId="5D67DE61" w:rsidR="00506152" w:rsidRPr="00506152" w:rsidRDefault="007A5851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-</w:t>
            </w:r>
          </w:p>
        </w:tc>
      </w:tr>
      <w:tr w:rsidR="00506152" w:rsidRPr="00506152" w14:paraId="70600DA2" w14:textId="77777777" w:rsidTr="00AD738C">
        <w:trPr>
          <w:trHeight w:val="342"/>
        </w:trPr>
        <w:tc>
          <w:tcPr>
            <w:tcW w:w="5000" w:type="pct"/>
            <w:gridSpan w:val="26"/>
            <w:shd w:val="clear" w:color="auto" w:fill="99CCFF"/>
            <w:vAlign w:val="center"/>
          </w:tcPr>
          <w:p w14:paraId="334B71F8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 xml:space="preserve"> Zmiana obciążeń regulacyjnych (w tym obowiązków informacyjnych) wynikających z projektu</w:t>
            </w:r>
          </w:p>
        </w:tc>
      </w:tr>
      <w:tr w:rsidR="00506152" w:rsidRPr="00506152" w14:paraId="56F9187C" w14:textId="77777777" w:rsidTr="00AD738C">
        <w:trPr>
          <w:trHeight w:val="151"/>
        </w:trPr>
        <w:tc>
          <w:tcPr>
            <w:tcW w:w="5000" w:type="pct"/>
            <w:gridSpan w:val="26"/>
            <w:shd w:val="clear" w:color="auto" w:fill="FFFFFF"/>
          </w:tcPr>
          <w:p w14:paraId="2FF7F830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nie dotyczy</w:t>
            </w:r>
          </w:p>
        </w:tc>
      </w:tr>
      <w:tr w:rsidR="00506152" w:rsidRPr="00506152" w14:paraId="1FA61F36" w14:textId="77777777" w:rsidTr="007A5851">
        <w:trPr>
          <w:trHeight w:val="946"/>
        </w:trPr>
        <w:tc>
          <w:tcPr>
            <w:tcW w:w="2390" w:type="pct"/>
            <w:gridSpan w:val="10"/>
            <w:shd w:val="clear" w:color="auto" w:fill="FFFFFF"/>
          </w:tcPr>
          <w:p w14:paraId="2D2D3F17" w14:textId="77777777" w:rsidR="00506152" w:rsidRPr="00506152" w:rsidRDefault="00506152" w:rsidP="00506152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Wprowadzane są obciążenia poza bezwzględnie wymaganymi przez UE </w: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>(szczegóły w odwróconej tabeli zgodności).</w:t>
            </w:r>
          </w:p>
        </w:tc>
        <w:tc>
          <w:tcPr>
            <w:tcW w:w="2610" w:type="pct"/>
            <w:gridSpan w:val="16"/>
            <w:shd w:val="clear" w:color="auto" w:fill="FFFFFF"/>
          </w:tcPr>
          <w:p w14:paraId="3BDA1A5D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 tak</w:t>
            </w:r>
          </w:p>
          <w:p w14:paraId="393246CA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 nie</w:t>
            </w:r>
          </w:p>
          <w:p w14:paraId="58D28787" w14:textId="77777777" w:rsidR="00506152" w:rsidRPr="00506152" w:rsidRDefault="00506152" w:rsidP="00506152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 nie dotyczy</w:t>
            </w:r>
          </w:p>
        </w:tc>
      </w:tr>
      <w:tr w:rsidR="00506152" w:rsidRPr="00506152" w14:paraId="3438494A" w14:textId="77777777" w:rsidTr="007A5851">
        <w:trPr>
          <w:trHeight w:val="1245"/>
        </w:trPr>
        <w:tc>
          <w:tcPr>
            <w:tcW w:w="2390" w:type="pct"/>
            <w:gridSpan w:val="10"/>
            <w:shd w:val="clear" w:color="auto" w:fill="FFFFFF"/>
          </w:tcPr>
          <w:p w14:paraId="430813F0" w14:textId="3F61F5D1" w:rsidR="00506152" w:rsidRPr="00506152" w:rsidRDefault="00E646E4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</w:rPr>
            </w:r>
            <w:r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="00506152"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zmniejszenie liczby dokumentów </w:t>
            </w:r>
          </w:p>
          <w:p w14:paraId="27F1B64E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zmniejszenie liczby procedur</w:t>
            </w:r>
          </w:p>
          <w:p w14:paraId="7EEB9930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skrócenie czasu na załatwienie sprawy</w:t>
            </w:r>
          </w:p>
          <w:p w14:paraId="2F60B1E3" w14:textId="77777777" w:rsidR="00506152" w:rsidRPr="00506152" w:rsidRDefault="00506152" w:rsidP="00506152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inne:</w: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FORMTEXT </w:instrTex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</w:p>
        </w:tc>
        <w:tc>
          <w:tcPr>
            <w:tcW w:w="2610" w:type="pct"/>
            <w:gridSpan w:val="16"/>
            <w:shd w:val="clear" w:color="auto" w:fill="FFFFFF"/>
          </w:tcPr>
          <w:p w14:paraId="2B95173A" w14:textId="2F7172F3" w:rsidR="00506152" w:rsidRPr="00506152" w:rsidRDefault="00E646E4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</w:rPr>
            </w:r>
            <w:r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="00506152"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zwiększenie liczby dokumentów</w:t>
            </w:r>
          </w:p>
          <w:p w14:paraId="11A8C3AC" w14:textId="73CC838E" w:rsidR="00506152" w:rsidRPr="00506152" w:rsidRDefault="00E646E4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>
              <w:rPr>
                <w:rFonts w:ascii="Times New Roman" w:eastAsia="Calibri" w:hAnsi="Times New Roman" w:cs="Times New Roman"/>
                <w:color w:val="000000"/>
              </w:rPr>
            </w:r>
            <w:r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="00506152"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zwiększenie liczby procedur</w:t>
            </w:r>
          </w:p>
          <w:p w14:paraId="1267486C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wydłużenie czasu na załatwienie sprawy</w:t>
            </w:r>
          </w:p>
          <w:p w14:paraId="1F520DC9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inne:</w: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helpText w:type="text" w:val="W przypadku wyboru Upoważnienie ustawowe, Strategia lub Inne wpisz dokładnie źródła tj. jaka ustawa, tytuł strategii i jaki inny dokument"/>
                  <w:statusText w:type="text" w:val="W przypadku wyboru Upoważnienie ustawowe, Strategia lub Inne wpisz dokładnie źródła tj. jaka ustawa, tytuł strategii i jaki inny dokument"/>
                  <w:textInput/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FORMTEXT </w:instrTex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Calibri" w:cs="Times New Roman"/>
                <w:noProof/>
                <w:color w:val="000000"/>
              </w:rPr>
              <w:t> </w: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</w:p>
          <w:p w14:paraId="29E7947D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06152" w:rsidRPr="00506152" w14:paraId="03D3DE9A" w14:textId="77777777" w:rsidTr="007A5851">
        <w:trPr>
          <w:trHeight w:val="870"/>
        </w:trPr>
        <w:tc>
          <w:tcPr>
            <w:tcW w:w="2390" w:type="pct"/>
            <w:gridSpan w:val="10"/>
            <w:shd w:val="clear" w:color="auto" w:fill="FFFFFF"/>
          </w:tcPr>
          <w:p w14:paraId="6E607977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Wprowadzane obciążenia są przystosowane do ich elektronizacji. </w:t>
            </w:r>
          </w:p>
        </w:tc>
        <w:tc>
          <w:tcPr>
            <w:tcW w:w="2610" w:type="pct"/>
            <w:gridSpan w:val="16"/>
            <w:shd w:val="clear" w:color="auto" w:fill="FFFFFF"/>
          </w:tcPr>
          <w:p w14:paraId="0620C56B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 tak</w:t>
            </w:r>
          </w:p>
          <w:p w14:paraId="32423EA9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 nie</w:t>
            </w:r>
          </w:p>
          <w:p w14:paraId="326ABA5A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 nie dotyczy</w:t>
            </w:r>
          </w:p>
          <w:p w14:paraId="437BEA2F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506152" w:rsidRPr="00506152" w14:paraId="52BDB2BC" w14:textId="77777777" w:rsidTr="00AD738C">
        <w:trPr>
          <w:trHeight w:val="339"/>
        </w:trPr>
        <w:tc>
          <w:tcPr>
            <w:tcW w:w="5000" w:type="pct"/>
            <w:gridSpan w:val="26"/>
            <w:shd w:val="clear" w:color="auto" w:fill="FFFFFF"/>
          </w:tcPr>
          <w:p w14:paraId="720F5F08" w14:textId="2CC0FBF7" w:rsidR="00506152" w:rsidRPr="00506152" w:rsidRDefault="00506152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t xml:space="preserve">Komentarz: Projektowana regulacja </w:t>
            </w:r>
            <w:r w:rsidR="006019F7">
              <w:rPr>
                <w:rFonts w:ascii="Times New Roman" w:eastAsia="Calibri" w:hAnsi="Times New Roman" w:cs="Times New Roman"/>
                <w:color w:val="000000"/>
              </w:rPr>
              <w:t xml:space="preserve">przewiduje nowe procedury w postaci </w:t>
            </w:r>
            <w:r w:rsidR="006019F7" w:rsidRPr="006019F7">
              <w:rPr>
                <w:rFonts w:ascii="Times New Roman" w:eastAsia="Calibri" w:hAnsi="Times New Roman" w:cs="Times New Roman"/>
                <w:color w:val="000000"/>
              </w:rPr>
              <w:t>zakładania, udostępniania i likwidacji konta w portalu informacyjnym.</w:t>
            </w:r>
          </w:p>
        </w:tc>
      </w:tr>
      <w:tr w:rsidR="00506152" w:rsidRPr="00506152" w14:paraId="64C45785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99CCFF"/>
          </w:tcPr>
          <w:p w14:paraId="527EC7D0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 xml:space="preserve">Wpływ na rynek pracy </w:t>
            </w:r>
          </w:p>
        </w:tc>
      </w:tr>
      <w:tr w:rsidR="00506152" w:rsidRPr="00506152" w14:paraId="4F4E045B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auto"/>
          </w:tcPr>
          <w:p w14:paraId="5B5E64CD" w14:textId="0497CD83" w:rsidR="00506152" w:rsidRPr="00506152" w:rsidRDefault="006019F7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Brak wpływu.</w:t>
            </w:r>
          </w:p>
        </w:tc>
      </w:tr>
      <w:tr w:rsidR="00506152" w:rsidRPr="00506152" w14:paraId="3F034FD8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99CCFF"/>
          </w:tcPr>
          <w:p w14:paraId="7F0A08DF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>Wpływ na pozostałe obszary</w:t>
            </w:r>
          </w:p>
        </w:tc>
      </w:tr>
      <w:tr w:rsidR="00506152" w:rsidRPr="00506152" w14:paraId="2537D9B1" w14:textId="77777777" w:rsidTr="007A5851">
        <w:trPr>
          <w:trHeight w:val="274"/>
        </w:trPr>
        <w:tc>
          <w:tcPr>
            <w:tcW w:w="1777" w:type="pct"/>
            <w:gridSpan w:val="5"/>
            <w:shd w:val="clear" w:color="auto" w:fill="FFFFFF"/>
          </w:tcPr>
          <w:p w14:paraId="0A8EA0B9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środowisko naturalne</w:t>
            </w:r>
          </w:p>
          <w:p w14:paraId="1CB88E7C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>sytuacja i rozwój regionalny</w:t>
            </w:r>
          </w:p>
          <w:p w14:paraId="6F3EE424" w14:textId="03452CCB" w:rsidR="00506152" w:rsidRPr="00506152" w:rsidRDefault="0045137B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="00506152"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06152" w:rsidRPr="00506152">
              <w:rPr>
                <w:rFonts w:ascii="Times New Roman" w:eastAsia="Calibri" w:hAnsi="Times New Roman" w:cs="Times New Roman"/>
                <w:spacing w:val="-2"/>
              </w:rPr>
              <w:t>sądy powszechne, administracyjne lub wojskowe</w:t>
            </w:r>
          </w:p>
        </w:tc>
        <w:tc>
          <w:tcPr>
            <w:tcW w:w="2101" w:type="pct"/>
            <w:gridSpan w:val="15"/>
            <w:shd w:val="clear" w:color="auto" w:fill="FFFFFF"/>
          </w:tcPr>
          <w:p w14:paraId="0B1537F7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demografia</w:t>
            </w:r>
          </w:p>
          <w:p w14:paraId="4810A34C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t>mienie państwowe</w:t>
            </w:r>
          </w:p>
          <w:p w14:paraId="415566A9" w14:textId="58DF685C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inne: </w:t>
            </w:r>
            <w:r w:rsidR="00F06EFA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ochrona </w:t>
            </w:r>
            <w:r w:rsidR="00907172">
              <w:rPr>
                <w:rFonts w:ascii="Times New Roman" w:eastAsia="Calibri" w:hAnsi="Times New Roman" w:cs="Times New Roman"/>
                <w:color w:val="000000"/>
                <w:spacing w:val="-2"/>
              </w:rPr>
              <w:t>prawa człowieka</w:t>
            </w:r>
          </w:p>
        </w:tc>
        <w:tc>
          <w:tcPr>
            <w:tcW w:w="1122" w:type="pct"/>
            <w:gridSpan w:val="6"/>
            <w:shd w:val="clear" w:color="auto" w:fill="FFFFFF"/>
          </w:tcPr>
          <w:p w14:paraId="1716C64A" w14:textId="7B7AA923" w:rsidR="00506152" w:rsidRPr="00506152" w:rsidRDefault="001A5CC6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="00506152"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06152"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informatyzacja</w:t>
            </w:r>
          </w:p>
          <w:p w14:paraId="5FC1B489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instrText xml:space="preserve"> FORMCHECKBOX </w:instrText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</w:r>
            <w:r w:rsidR="003979F6">
              <w:rPr>
                <w:rFonts w:ascii="Times New Roman" w:eastAsia="Calibri" w:hAnsi="Times New Roman" w:cs="Times New Roman"/>
                <w:color w:val="000000"/>
              </w:rPr>
              <w:fldChar w:fldCharType="separate"/>
            </w:r>
            <w:r w:rsidRPr="00506152">
              <w:rPr>
                <w:rFonts w:ascii="Times New Roman" w:eastAsia="Calibri" w:hAnsi="Times New Roman" w:cs="Times New Roman"/>
                <w:color w:val="000000"/>
              </w:rPr>
              <w:fldChar w:fldCharType="end"/>
            </w:r>
            <w:r w:rsidRPr="0050615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zdrowie</w:t>
            </w:r>
          </w:p>
        </w:tc>
      </w:tr>
      <w:tr w:rsidR="00506152" w:rsidRPr="00506152" w14:paraId="461DEDFD" w14:textId="77777777" w:rsidTr="00F06EFA">
        <w:trPr>
          <w:trHeight w:val="712"/>
        </w:trPr>
        <w:tc>
          <w:tcPr>
            <w:tcW w:w="1140" w:type="pct"/>
            <w:gridSpan w:val="3"/>
            <w:shd w:val="clear" w:color="auto" w:fill="FFFFFF"/>
            <w:vAlign w:val="center"/>
          </w:tcPr>
          <w:p w14:paraId="6AA720AF" w14:textId="77777777" w:rsidR="00506152" w:rsidRPr="00506152" w:rsidRDefault="00506152" w:rsidP="00506152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</w:rPr>
              <w:t>Omówienie wpływu</w:t>
            </w:r>
          </w:p>
        </w:tc>
        <w:tc>
          <w:tcPr>
            <w:tcW w:w="3860" w:type="pct"/>
            <w:gridSpan w:val="23"/>
            <w:shd w:val="clear" w:color="auto" w:fill="FFFFFF"/>
            <w:vAlign w:val="center"/>
          </w:tcPr>
          <w:p w14:paraId="56CC0F64" w14:textId="77777777" w:rsidR="00506152" w:rsidRDefault="001A5CC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Projekt wpływa na informatyzację </w:t>
            </w:r>
            <w:r w:rsidR="006019F7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poprzez określenie </w:t>
            </w:r>
            <w:r w:rsidR="006019F7" w:rsidRPr="006019F7">
              <w:rPr>
                <w:rFonts w:ascii="Times New Roman" w:eastAsia="Calibri" w:hAnsi="Times New Roman" w:cs="Times New Roman"/>
                <w:color w:val="000000"/>
                <w:spacing w:val="-2"/>
              </w:rPr>
              <w:t>tryb</w:t>
            </w:r>
            <w:r w:rsidR="006019F7">
              <w:rPr>
                <w:rFonts w:ascii="Times New Roman" w:eastAsia="Calibri" w:hAnsi="Times New Roman" w:cs="Times New Roman"/>
                <w:color w:val="000000"/>
                <w:spacing w:val="-2"/>
              </w:rPr>
              <w:t>u</w:t>
            </w:r>
            <w:r w:rsidR="006019F7" w:rsidRPr="006019F7"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zakładania, udostępniania i likwidacji konta w portalu informacyjnym.</w:t>
            </w:r>
          </w:p>
          <w:p w14:paraId="3CBE943A" w14:textId="77777777" w:rsidR="0045137B" w:rsidRDefault="0045137B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Wpływ na sądy omówiono w </w:t>
            </w:r>
            <w:r w:rsidR="008D212C">
              <w:rPr>
                <w:rFonts w:ascii="Times New Roman" w:eastAsia="Calibri" w:hAnsi="Times New Roman" w:cs="Times New Roman"/>
                <w:color w:val="000000"/>
                <w:spacing w:val="-2"/>
              </w:rPr>
              <w:t>pkt 1 i</w:t>
            </w: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 xml:space="preserve"> 2 OSR.</w:t>
            </w:r>
          </w:p>
          <w:p w14:paraId="289DBB0F" w14:textId="062AA8BC" w:rsidR="00907172" w:rsidRPr="00506152" w:rsidRDefault="00907172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>
              <w:rPr>
                <w:rFonts w:ascii="Times New Roman" w:eastAsia="Calibri" w:hAnsi="Times New Roman" w:cs="Times New Roman"/>
                <w:color w:val="000000"/>
                <w:spacing w:val="-2"/>
              </w:rPr>
              <w:t>Projekt nie wpływa na prawa człowieka.</w:t>
            </w:r>
          </w:p>
        </w:tc>
      </w:tr>
      <w:tr w:rsidR="00506152" w:rsidRPr="00506152" w14:paraId="7E328159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99CCFF"/>
          </w:tcPr>
          <w:p w14:paraId="053FDDF4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506152">
              <w:rPr>
                <w:rFonts w:ascii="Times New Roman" w:eastAsia="Calibri" w:hAnsi="Times New Roman" w:cs="Times New Roman"/>
                <w:b/>
                <w:spacing w:val="-2"/>
                <w:sz w:val="21"/>
                <w:szCs w:val="21"/>
              </w:rPr>
              <w:t>Planowane wykonanie przepisów aktu prawnego</w:t>
            </w:r>
          </w:p>
        </w:tc>
      </w:tr>
      <w:tr w:rsidR="00506152" w:rsidRPr="00506152" w14:paraId="7BE78EAA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FFFFFF"/>
          </w:tcPr>
          <w:p w14:paraId="72993DDF" w14:textId="78A08BA8" w:rsidR="001A5CC6" w:rsidRPr="00506152" w:rsidRDefault="001A5CC6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</w:rPr>
            </w:pPr>
            <w:r w:rsidRPr="001A5CC6">
              <w:rPr>
                <w:rFonts w:ascii="Times New Roman" w:eastAsia="Calibri" w:hAnsi="Times New Roman" w:cs="Times New Roman"/>
                <w:spacing w:val="-2"/>
              </w:rPr>
              <w:t xml:space="preserve">Rozporządzenie wchodzi w życie </w:t>
            </w:r>
            <w:r w:rsidR="00AA4DD7">
              <w:rPr>
                <w:rFonts w:ascii="Times New Roman" w:eastAsia="Calibri" w:hAnsi="Times New Roman" w:cs="Times New Roman"/>
                <w:spacing w:val="-2"/>
              </w:rPr>
              <w:t>z dniem</w:t>
            </w:r>
            <w:r w:rsidRPr="001A5CC6">
              <w:rPr>
                <w:rFonts w:ascii="Times New Roman" w:eastAsia="Calibri" w:hAnsi="Times New Roman" w:cs="Times New Roman"/>
                <w:spacing w:val="-2"/>
              </w:rPr>
              <w:t xml:space="preserve"> 14 marca 2024 r.</w:t>
            </w:r>
          </w:p>
        </w:tc>
      </w:tr>
      <w:tr w:rsidR="00506152" w:rsidRPr="00506152" w14:paraId="5EC5CB18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99CCFF"/>
          </w:tcPr>
          <w:p w14:paraId="7D591D4B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Pr="00506152">
              <w:rPr>
                <w:rFonts w:ascii="Times New Roman" w:eastAsia="Calibri" w:hAnsi="Times New Roman" w:cs="Times New Roman"/>
                <w:b/>
                <w:spacing w:val="-2"/>
                <w:sz w:val="21"/>
                <w:szCs w:val="21"/>
              </w:rPr>
              <w:t>W jaki sposób i kiedy nastąpi ewaluacja efektów projektu oraz jakie mierniki zostaną zastosowane?</w:t>
            </w:r>
          </w:p>
        </w:tc>
      </w:tr>
      <w:tr w:rsidR="00506152" w:rsidRPr="00506152" w14:paraId="467DC942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FFFFFF"/>
          </w:tcPr>
          <w:p w14:paraId="650D3381" w14:textId="77777777" w:rsidR="00506152" w:rsidRPr="00506152" w:rsidRDefault="00506152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Efekty wejścia w życie projektowanych rozwiązań będą natychmiastowe i nie wymagają pomiaru.</w:t>
            </w:r>
          </w:p>
        </w:tc>
      </w:tr>
      <w:tr w:rsidR="00506152" w:rsidRPr="00506152" w14:paraId="00C410AB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99CCFF"/>
          </w:tcPr>
          <w:p w14:paraId="629ECA4E" w14:textId="77777777" w:rsidR="00506152" w:rsidRPr="00506152" w:rsidRDefault="00506152" w:rsidP="0050615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60" w:after="60" w:line="240" w:lineRule="auto"/>
              <w:ind w:left="318" w:hanging="284"/>
              <w:jc w:val="both"/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Załączniki </w:t>
            </w:r>
            <w:r w:rsidRPr="00506152">
              <w:rPr>
                <w:rFonts w:ascii="Times New Roman" w:eastAsia="Calibri" w:hAnsi="Times New Roman" w:cs="Times New Roman"/>
                <w:b/>
                <w:spacing w:val="-2"/>
                <w:sz w:val="21"/>
                <w:szCs w:val="21"/>
              </w:rPr>
              <w:t>(istotne dokumenty źródłowe, badania, analizy itp.</w:t>
            </w:r>
            <w:r w:rsidRPr="00506152">
              <w:rPr>
                <w:rFonts w:ascii="Times New Roman" w:eastAsia="Calibri" w:hAnsi="Times New Roman" w:cs="Times New Roman"/>
                <w:b/>
                <w:color w:val="000000"/>
                <w:spacing w:val="-2"/>
              </w:rPr>
              <w:t xml:space="preserve">) </w:t>
            </w:r>
          </w:p>
        </w:tc>
      </w:tr>
      <w:tr w:rsidR="00506152" w:rsidRPr="00506152" w14:paraId="738CA5F5" w14:textId="77777777" w:rsidTr="00AD738C">
        <w:trPr>
          <w:trHeight w:val="142"/>
        </w:trPr>
        <w:tc>
          <w:tcPr>
            <w:tcW w:w="5000" w:type="pct"/>
            <w:gridSpan w:val="26"/>
            <w:shd w:val="clear" w:color="auto" w:fill="FFFFFF"/>
          </w:tcPr>
          <w:p w14:paraId="7CC02D09" w14:textId="77777777" w:rsidR="00506152" w:rsidRPr="00506152" w:rsidRDefault="00506152" w:rsidP="0050615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pacing w:val="-2"/>
              </w:rPr>
            </w:pPr>
            <w:r w:rsidRPr="00506152">
              <w:rPr>
                <w:rFonts w:ascii="Times New Roman" w:eastAsia="Calibri" w:hAnsi="Times New Roman" w:cs="Times New Roman"/>
                <w:color w:val="000000"/>
                <w:spacing w:val="-2"/>
              </w:rPr>
              <w:t>Brak.</w:t>
            </w:r>
          </w:p>
        </w:tc>
      </w:tr>
    </w:tbl>
    <w:p w14:paraId="1CB2E2FA" w14:textId="77777777" w:rsidR="00313B3A" w:rsidRDefault="00313B3A" w:rsidP="003979F6"/>
    <w:sectPr w:rsidR="00313B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810F15"/>
    <w:multiLevelType w:val="hybridMultilevel"/>
    <w:tmpl w:val="8CD8B3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A41E7"/>
    <w:multiLevelType w:val="hybridMultilevel"/>
    <w:tmpl w:val="1F5C7EEA"/>
    <w:lvl w:ilvl="0" w:tplc="680E4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E847D5"/>
    <w:multiLevelType w:val="hybridMultilevel"/>
    <w:tmpl w:val="0B46F554"/>
    <w:lvl w:ilvl="0" w:tplc="9DE4E1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0914132">
    <w:abstractNumId w:val="1"/>
  </w:num>
  <w:num w:numId="2" w16cid:durableId="363363684">
    <w:abstractNumId w:val="0"/>
  </w:num>
  <w:num w:numId="3" w16cid:durableId="1178151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152"/>
    <w:rsid w:val="000030F1"/>
    <w:rsid w:val="000037DF"/>
    <w:rsid w:val="0001584C"/>
    <w:rsid w:val="00023536"/>
    <w:rsid w:val="0002563D"/>
    <w:rsid w:val="000353BE"/>
    <w:rsid w:val="00040D27"/>
    <w:rsid w:val="0004293C"/>
    <w:rsid w:val="00044B66"/>
    <w:rsid w:val="000505E6"/>
    <w:rsid w:val="00055314"/>
    <w:rsid w:val="00063524"/>
    <w:rsid w:val="0006577A"/>
    <w:rsid w:val="00071C78"/>
    <w:rsid w:val="00085C1B"/>
    <w:rsid w:val="00094DC8"/>
    <w:rsid w:val="000952DA"/>
    <w:rsid w:val="000A1F05"/>
    <w:rsid w:val="000B1BFE"/>
    <w:rsid w:val="000B402B"/>
    <w:rsid w:val="000B54FD"/>
    <w:rsid w:val="000C27A6"/>
    <w:rsid w:val="000C3B45"/>
    <w:rsid w:val="000C5196"/>
    <w:rsid w:val="000D311C"/>
    <w:rsid w:val="000E7DA1"/>
    <w:rsid w:val="000F1A1B"/>
    <w:rsid w:val="000F20CE"/>
    <w:rsid w:val="000F495B"/>
    <w:rsid w:val="000F69ED"/>
    <w:rsid w:val="000F79CD"/>
    <w:rsid w:val="001016E7"/>
    <w:rsid w:val="00105198"/>
    <w:rsid w:val="0014337A"/>
    <w:rsid w:val="0014648D"/>
    <w:rsid w:val="001473B4"/>
    <w:rsid w:val="0015524B"/>
    <w:rsid w:val="0015607A"/>
    <w:rsid w:val="00162B1F"/>
    <w:rsid w:val="001721C2"/>
    <w:rsid w:val="00173830"/>
    <w:rsid w:val="00175796"/>
    <w:rsid w:val="00177F54"/>
    <w:rsid w:val="00181EE4"/>
    <w:rsid w:val="001824C5"/>
    <w:rsid w:val="00190EA7"/>
    <w:rsid w:val="00194C60"/>
    <w:rsid w:val="0019614D"/>
    <w:rsid w:val="001A418D"/>
    <w:rsid w:val="001A5CC6"/>
    <w:rsid w:val="001A6DAC"/>
    <w:rsid w:val="001B6286"/>
    <w:rsid w:val="001C0CE0"/>
    <w:rsid w:val="001D7D9B"/>
    <w:rsid w:val="001F5B13"/>
    <w:rsid w:val="00210F42"/>
    <w:rsid w:val="00211ADC"/>
    <w:rsid w:val="00221C99"/>
    <w:rsid w:val="0022271B"/>
    <w:rsid w:val="00231774"/>
    <w:rsid w:val="00246427"/>
    <w:rsid w:val="002664F6"/>
    <w:rsid w:val="00270F46"/>
    <w:rsid w:val="00271CDF"/>
    <w:rsid w:val="00276BC3"/>
    <w:rsid w:val="002909D8"/>
    <w:rsid w:val="00294B88"/>
    <w:rsid w:val="0029581E"/>
    <w:rsid w:val="002A7B2D"/>
    <w:rsid w:val="002B206C"/>
    <w:rsid w:val="002B57D5"/>
    <w:rsid w:val="002B5F33"/>
    <w:rsid w:val="002C06DA"/>
    <w:rsid w:val="002C07C8"/>
    <w:rsid w:val="002C0E8B"/>
    <w:rsid w:val="002C2722"/>
    <w:rsid w:val="002C2B97"/>
    <w:rsid w:val="002C7655"/>
    <w:rsid w:val="002D283D"/>
    <w:rsid w:val="002D2DBB"/>
    <w:rsid w:val="002D31AF"/>
    <w:rsid w:val="002D47CC"/>
    <w:rsid w:val="002D7ABB"/>
    <w:rsid w:val="002E28AD"/>
    <w:rsid w:val="002F4B25"/>
    <w:rsid w:val="00305B25"/>
    <w:rsid w:val="003134B4"/>
    <w:rsid w:val="00313B3A"/>
    <w:rsid w:val="0032119C"/>
    <w:rsid w:val="00333ADB"/>
    <w:rsid w:val="00337C68"/>
    <w:rsid w:val="003442F5"/>
    <w:rsid w:val="003447D7"/>
    <w:rsid w:val="00352CA3"/>
    <w:rsid w:val="00382FC0"/>
    <w:rsid w:val="0038524A"/>
    <w:rsid w:val="00387341"/>
    <w:rsid w:val="0039485E"/>
    <w:rsid w:val="00395F08"/>
    <w:rsid w:val="003979F6"/>
    <w:rsid w:val="003A15B9"/>
    <w:rsid w:val="003A3B94"/>
    <w:rsid w:val="003A5A10"/>
    <w:rsid w:val="003A6573"/>
    <w:rsid w:val="003B37ED"/>
    <w:rsid w:val="003C0265"/>
    <w:rsid w:val="003C26CF"/>
    <w:rsid w:val="003D5E13"/>
    <w:rsid w:val="003E00EE"/>
    <w:rsid w:val="003E7F10"/>
    <w:rsid w:val="003F000A"/>
    <w:rsid w:val="003F4EBE"/>
    <w:rsid w:val="00404730"/>
    <w:rsid w:val="00407BB8"/>
    <w:rsid w:val="00423FE7"/>
    <w:rsid w:val="0043087E"/>
    <w:rsid w:val="0044405D"/>
    <w:rsid w:val="00445BF2"/>
    <w:rsid w:val="00447C78"/>
    <w:rsid w:val="0045137B"/>
    <w:rsid w:val="00460C5A"/>
    <w:rsid w:val="00472DD6"/>
    <w:rsid w:val="00476494"/>
    <w:rsid w:val="00483A33"/>
    <w:rsid w:val="004904B2"/>
    <w:rsid w:val="004906FA"/>
    <w:rsid w:val="0049786A"/>
    <w:rsid w:val="004A4ACE"/>
    <w:rsid w:val="004A532C"/>
    <w:rsid w:val="004B13DC"/>
    <w:rsid w:val="004B546B"/>
    <w:rsid w:val="004C1A61"/>
    <w:rsid w:val="004C1CD4"/>
    <w:rsid w:val="004C1F4F"/>
    <w:rsid w:val="004C4305"/>
    <w:rsid w:val="004C4A46"/>
    <w:rsid w:val="004D0B69"/>
    <w:rsid w:val="004E13BC"/>
    <w:rsid w:val="004E2DBD"/>
    <w:rsid w:val="004E43A7"/>
    <w:rsid w:val="004F4ECB"/>
    <w:rsid w:val="005016E8"/>
    <w:rsid w:val="005030F0"/>
    <w:rsid w:val="00506152"/>
    <w:rsid w:val="00506F49"/>
    <w:rsid w:val="005100F8"/>
    <w:rsid w:val="005206A9"/>
    <w:rsid w:val="005222F3"/>
    <w:rsid w:val="00524072"/>
    <w:rsid w:val="005262A0"/>
    <w:rsid w:val="00533C5C"/>
    <w:rsid w:val="005363E1"/>
    <w:rsid w:val="005468C8"/>
    <w:rsid w:val="00547707"/>
    <w:rsid w:val="00556DF7"/>
    <w:rsid w:val="00556FB4"/>
    <w:rsid w:val="00560A63"/>
    <w:rsid w:val="005675C8"/>
    <w:rsid w:val="00587336"/>
    <w:rsid w:val="005A2A6D"/>
    <w:rsid w:val="005B0AC3"/>
    <w:rsid w:val="005B7451"/>
    <w:rsid w:val="005B7C89"/>
    <w:rsid w:val="005C28F0"/>
    <w:rsid w:val="005D46A8"/>
    <w:rsid w:val="005D4F3D"/>
    <w:rsid w:val="005D7A62"/>
    <w:rsid w:val="005E4F0D"/>
    <w:rsid w:val="005F5A68"/>
    <w:rsid w:val="006012AD"/>
    <w:rsid w:val="006019F7"/>
    <w:rsid w:val="006032FE"/>
    <w:rsid w:val="00603B0D"/>
    <w:rsid w:val="00612C90"/>
    <w:rsid w:val="00614829"/>
    <w:rsid w:val="006174E8"/>
    <w:rsid w:val="006249E0"/>
    <w:rsid w:val="00632767"/>
    <w:rsid w:val="006358DA"/>
    <w:rsid w:val="00637B85"/>
    <w:rsid w:val="0065069A"/>
    <w:rsid w:val="00652F6B"/>
    <w:rsid w:val="00653101"/>
    <w:rsid w:val="00655F25"/>
    <w:rsid w:val="00664F51"/>
    <w:rsid w:val="006704AA"/>
    <w:rsid w:val="00673EFA"/>
    <w:rsid w:val="00674AED"/>
    <w:rsid w:val="0067522B"/>
    <w:rsid w:val="00675FE7"/>
    <w:rsid w:val="00681FB9"/>
    <w:rsid w:val="006821D5"/>
    <w:rsid w:val="006826E5"/>
    <w:rsid w:val="0068643E"/>
    <w:rsid w:val="00691E38"/>
    <w:rsid w:val="006A34F9"/>
    <w:rsid w:val="006A381C"/>
    <w:rsid w:val="006A3F03"/>
    <w:rsid w:val="006B466C"/>
    <w:rsid w:val="006C212C"/>
    <w:rsid w:val="006C3367"/>
    <w:rsid w:val="006D5AE0"/>
    <w:rsid w:val="006F0788"/>
    <w:rsid w:val="006F444B"/>
    <w:rsid w:val="006F4865"/>
    <w:rsid w:val="00704086"/>
    <w:rsid w:val="00704FE5"/>
    <w:rsid w:val="00714F25"/>
    <w:rsid w:val="00721A8E"/>
    <w:rsid w:val="00722088"/>
    <w:rsid w:val="00726D64"/>
    <w:rsid w:val="00732844"/>
    <w:rsid w:val="00733AA9"/>
    <w:rsid w:val="0073574F"/>
    <w:rsid w:val="00736EE1"/>
    <w:rsid w:val="00751503"/>
    <w:rsid w:val="0076132D"/>
    <w:rsid w:val="0076478E"/>
    <w:rsid w:val="00766142"/>
    <w:rsid w:val="00770EF6"/>
    <w:rsid w:val="0078461A"/>
    <w:rsid w:val="007A5851"/>
    <w:rsid w:val="007B5072"/>
    <w:rsid w:val="007B7A0D"/>
    <w:rsid w:val="007B7CAC"/>
    <w:rsid w:val="007C7B0B"/>
    <w:rsid w:val="007D011D"/>
    <w:rsid w:val="007D0C5C"/>
    <w:rsid w:val="007D3336"/>
    <w:rsid w:val="007D39CB"/>
    <w:rsid w:val="007F04B3"/>
    <w:rsid w:val="007F0F61"/>
    <w:rsid w:val="007F297A"/>
    <w:rsid w:val="007F356A"/>
    <w:rsid w:val="007F3570"/>
    <w:rsid w:val="00822C10"/>
    <w:rsid w:val="008249F4"/>
    <w:rsid w:val="00835DC1"/>
    <w:rsid w:val="008441DE"/>
    <w:rsid w:val="008477CF"/>
    <w:rsid w:val="00857B73"/>
    <w:rsid w:val="00861157"/>
    <w:rsid w:val="0087466A"/>
    <w:rsid w:val="008754DE"/>
    <w:rsid w:val="00876578"/>
    <w:rsid w:val="0088124F"/>
    <w:rsid w:val="00890D20"/>
    <w:rsid w:val="00892FD0"/>
    <w:rsid w:val="00897CDE"/>
    <w:rsid w:val="008B35E9"/>
    <w:rsid w:val="008C7430"/>
    <w:rsid w:val="008D0586"/>
    <w:rsid w:val="008D212C"/>
    <w:rsid w:val="008E504A"/>
    <w:rsid w:val="008F159B"/>
    <w:rsid w:val="008F2D03"/>
    <w:rsid w:val="00907172"/>
    <w:rsid w:val="009213C5"/>
    <w:rsid w:val="00921B4E"/>
    <w:rsid w:val="00930EC0"/>
    <w:rsid w:val="0093309A"/>
    <w:rsid w:val="00934CD0"/>
    <w:rsid w:val="00936D3A"/>
    <w:rsid w:val="00943D4F"/>
    <w:rsid w:val="00945EC7"/>
    <w:rsid w:val="00946963"/>
    <w:rsid w:val="00947B85"/>
    <w:rsid w:val="00951D33"/>
    <w:rsid w:val="00955EB6"/>
    <w:rsid w:val="009563D0"/>
    <w:rsid w:val="00957E79"/>
    <w:rsid w:val="0096412D"/>
    <w:rsid w:val="0096431F"/>
    <w:rsid w:val="009755B1"/>
    <w:rsid w:val="00983184"/>
    <w:rsid w:val="00987EFA"/>
    <w:rsid w:val="00991528"/>
    <w:rsid w:val="009A2C69"/>
    <w:rsid w:val="009A324B"/>
    <w:rsid w:val="009A50D3"/>
    <w:rsid w:val="009A5BA6"/>
    <w:rsid w:val="009B6831"/>
    <w:rsid w:val="009B7ADD"/>
    <w:rsid w:val="009C0D31"/>
    <w:rsid w:val="009C25ED"/>
    <w:rsid w:val="009C3926"/>
    <w:rsid w:val="009D11BD"/>
    <w:rsid w:val="009D2E83"/>
    <w:rsid w:val="009E2B62"/>
    <w:rsid w:val="009F0203"/>
    <w:rsid w:val="009F2F5C"/>
    <w:rsid w:val="009F41E4"/>
    <w:rsid w:val="009F7866"/>
    <w:rsid w:val="00A01C41"/>
    <w:rsid w:val="00A11DE8"/>
    <w:rsid w:val="00A273BE"/>
    <w:rsid w:val="00A30B74"/>
    <w:rsid w:val="00A37996"/>
    <w:rsid w:val="00A47C64"/>
    <w:rsid w:val="00A52061"/>
    <w:rsid w:val="00A60608"/>
    <w:rsid w:val="00A64300"/>
    <w:rsid w:val="00A708BD"/>
    <w:rsid w:val="00A70E08"/>
    <w:rsid w:val="00A779DA"/>
    <w:rsid w:val="00A85735"/>
    <w:rsid w:val="00A862A0"/>
    <w:rsid w:val="00A86367"/>
    <w:rsid w:val="00AA4DD7"/>
    <w:rsid w:val="00AB6973"/>
    <w:rsid w:val="00AC2388"/>
    <w:rsid w:val="00AC6AC7"/>
    <w:rsid w:val="00AD1B3E"/>
    <w:rsid w:val="00AE0441"/>
    <w:rsid w:val="00AF0899"/>
    <w:rsid w:val="00AF0C58"/>
    <w:rsid w:val="00AF6BD3"/>
    <w:rsid w:val="00B02802"/>
    <w:rsid w:val="00B139CA"/>
    <w:rsid w:val="00B13AFC"/>
    <w:rsid w:val="00B21420"/>
    <w:rsid w:val="00B25039"/>
    <w:rsid w:val="00B31EAB"/>
    <w:rsid w:val="00B326D0"/>
    <w:rsid w:val="00B34BC1"/>
    <w:rsid w:val="00B37E91"/>
    <w:rsid w:val="00B412C3"/>
    <w:rsid w:val="00B42FAF"/>
    <w:rsid w:val="00B44642"/>
    <w:rsid w:val="00B577D1"/>
    <w:rsid w:val="00B61F7B"/>
    <w:rsid w:val="00B6456D"/>
    <w:rsid w:val="00B648D7"/>
    <w:rsid w:val="00B665CB"/>
    <w:rsid w:val="00B754BF"/>
    <w:rsid w:val="00B918F3"/>
    <w:rsid w:val="00B962A8"/>
    <w:rsid w:val="00B96ADA"/>
    <w:rsid w:val="00BA4C6A"/>
    <w:rsid w:val="00BA575E"/>
    <w:rsid w:val="00BA7D37"/>
    <w:rsid w:val="00BB43D6"/>
    <w:rsid w:val="00BB4D74"/>
    <w:rsid w:val="00BC2BC9"/>
    <w:rsid w:val="00BC4F15"/>
    <w:rsid w:val="00BD3CBD"/>
    <w:rsid w:val="00BD5163"/>
    <w:rsid w:val="00BE0C2C"/>
    <w:rsid w:val="00BF0E9D"/>
    <w:rsid w:val="00BF696E"/>
    <w:rsid w:val="00C109E5"/>
    <w:rsid w:val="00C1655F"/>
    <w:rsid w:val="00C30179"/>
    <w:rsid w:val="00C30613"/>
    <w:rsid w:val="00C367EB"/>
    <w:rsid w:val="00C36E15"/>
    <w:rsid w:val="00C37AE5"/>
    <w:rsid w:val="00C410F2"/>
    <w:rsid w:val="00C60D36"/>
    <w:rsid w:val="00C67900"/>
    <w:rsid w:val="00C74CDB"/>
    <w:rsid w:val="00C76B80"/>
    <w:rsid w:val="00C7725B"/>
    <w:rsid w:val="00C85513"/>
    <w:rsid w:val="00C90D26"/>
    <w:rsid w:val="00C943A9"/>
    <w:rsid w:val="00C9585A"/>
    <w:rsid w:val="00C95B51"/>
    <w:rsid w:val="00CA1445"/>
    <w:rsid w:val="00CA26C7"/>
    <w:rsid w:val="00CA790B"/>
    <w:rsid w:val="00CB4A66"/>
    <w:rsid w:val="00CB662B"/>
    <w:rsid w:val="00CC1715"/>
    <w:rsid w:val="00CD2504"/>
    <w:rsid w:val="00CD4605"/>
    <w:rsid w:val="00CD49CE"/>
    <w:rsid w:val="00CF0817"/>
    <w:rsid w:val="00CF2C79"/>
    <w:rsid w:val="00CF3951"/>
    <w:rsid w:val="00CF3C72"/>
    <w:rsid w:val="00D14CEE"/>
    <w:rsid w:val="00D17C34"/>
    <w:rsid w:val="00D20D17"/>
    <w:rsid w:val="00D215F2"/>
    <w:rsid w:val="00D22068"/>
    <w:rsid w:val="00D26F95"/>
    <w:rsid w:val="00D340CF"/>
    <w:rsid w:val="00D356C1"/>
    <w:rsid w:val="00D4067A"/>
    <w:rsid w:val="00D42EF8"/>
    <w:rsid w:val="00D443E7"/>
    <w:rsid w:val="00D45008"/>
    <w:rsid w:val="00D50158"/>
    <w:rsid w:val="00D516F0"/>
    <w:rsid w:val="00D54786"/>
    <w:rsid w:val="00D6122F"/>
    <w:rsid w:val="00D61938"/>
    <w:rsid w:val="00D634F6"/>
    <w:rsid w:val="00D71B5D"/>
    <w:rsid w:val="00D7684E"/>
    <w:rsid w:val="00D810E0"/>
    <w:rsid w:val="00D836C2"/>
    <w:rsid w:val="00D84A16"/>
    <w:rsid w:val="00DA17E4"/>
    <w:rsid w:val="00DA2FA9"/>
    <w:rsid w:val="00DA43F0"/>
    <w:rsid w:val="00DA5740"/>
    <w:rsid w:val="00DB090D"/>
    <w:rsid w:val="00DB52A4"/>
    <w:rsid w:val="00DB6142"/>
    <w:rsid w:val="00DC364F"/>
    <w:rsid w:val="00DC59FC"/>
    <w:rsid w:val="00DC7E79"/>
    <w:rsid w:val="00DE170E"/>
    <w:rsid w:val="00DE1942"/>
    <w:rsid w:val="00DE4306"/>
    <w:rsid w:val="00DF1CDE"/>
    <w:rsid w:val="00E02E67"/>
    <w:rsid w:val="00E05B65"/>
    <w:rsid w:val="00E0615A"/>
    <w:rsid w:val="00E15AC6"/>
    <w:rsid w:val="00E15ECA"/>
    <w:rsid w:val="00E20205"/>
    <w:rsid w:val="00E22E62"/>
    <w:rsid w:val="00E30115"/>
    <w:rsid w:val="00E36F49"/>
    <w:rsid w:val="00E419ED"/>
    <w:rsid w:val="00E4377E"/>
    <w:rsid w:val="00E51B57"/>
    <w:rsid w:val="00E5316B"/>
    <w:rsid w:val="00E532AE"/>
    <w:rsid w:val="00E566A0"/>
    <w:rsid w:val="00E646E4"/>
    <w:rsid w:val="00E667FC"/>
    <w:rsid w:val="00E71FA8"/>
    <w:rsid w:val="00E7652F"/>
    <w:rsid w:val="00E82DD5"/>
    <w:rsid w:val="00E8477B"/>
    <w:rsid w:val="00E85E86"/>
    <w:rsid w:val="00E86C27"/>
    <w:rsid w:val="00E93FB2"/>
    <w:rsid w:val="00E94A55"/>
    <w:rsid w:val="00E94FBE"/>
    <w:rsid w:val="00E958FB"/>
    <w:rsid w:val="00EB15CB"/>
    <w:rsid w:val="00EB17F6"/>
    <w:rsid w:val="00EC1711"/>
    <w:rsid w:val="00ED4C44"/>
    <w:rsid w:val="00EE4F06"/>
    <w:rsid w:val="00EE7FDB"/>
    <w:rsid w:val="00F0182E"/>
    <w:rsid w:val="00F01F33"/>
    <w:rsid w:val="00F06EFA"/>
    <w:rsid w:val="00F119E8"/>
    <w:rsid w:val="00F1391A"/>
    <w:rsid w:val="00F157E7"/>
    <w:rsid w:val="00F2070E"/>
    <w:rsid w:val="00F213FD"/>
    <w:rsid w:val="00F22C47"/>
    <w:rsid w:val="00F256DE"/>
    <w:rsid w:val="00F2751D"/>
    <w:rsid w:val="00F34815"/>
    <w:rsid w:val="00F42825"/>
    <w:rsid w:val="00F515C3"/>
    <w:rsid w:val="00F76E68"/>
    <w:rsid w:val="00F84767"/>
    <w:rsid w:val="00F861F9"/>
    <w:rsid w:val="00F90D8C"/>
    <w:rsid w:val="00F91CE0"/>
    <w:rsid w:val="00F93B8C"/>
    <w:rsid w:val="00F9444A"/>
    <w:rsid w:val="00FA143A"/>
    <w:rsid w:val="00FA1E7F"/>
    <w:rsid w:val="00FA2719"/>
    <w:rsid w:val="00FA3007"/>
    <w:rsid w:val="00FA387F"/>
    <w:rsid w:val="00FA4232"/>
    <w:rsid w:val="00FA7AB9"/>
    <w:rsid w:val="00FB03DA"/>
    <w:rsid w:val="00FB3E5A"/>
    <w:rsid w:val="00FC219B"/>
    <w:rsid w:val="00FC7452"/>
    <w:rsid w:val="00FD2BC6"/>
    <w:rsid w:val="00FD4F2C"/>
    <w:rsid w:val="00FE6C85"/>
    <w:rsid w:val="00FF0CA4"/>
    <w:rsid w:val="00FF49CD"/>
    <w:rsid w:val="00FF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E246D"/>
  <w15:chartTrackingRefBased/>
  <w15:docId w15:val="{88F09D06-95A4-4EA6-A912-3B0469DC2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7B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7B8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43D4F"/>
    <w:pPr>
      <w:ind w:left="720"/>
      <w:contextualSpacing/>
    </w:pPr>
  </w:style>
  <w:style w:type="paragraph" w:styleId="Bezodstpw">
    <w:name w:val="No Spacing"/>
    <w:uiPriority w:val="1"/>
    <w:qFormat/>
    <w:rsid w:val="00190E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6</Pages>
  <Words>1862</Words>
  <Characters>11177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Grudziński Piotr  (DSF)</dc:creator>
  <cp:keywords/>
  <dc:description/>
  <cp:lastModifiedBy>Kopczyńska Katarzyna  (DLPC)</cp:lastModifiedBy>
  <cp:revision>30</cp:revision>
  <cp:lastPrinted>2024-02-20T11:30:00Z</cp:lastPrinted>
  <dcterms:created xsi:type="dcterms:W3CDTF">2024-02-20T11:31:00Z</dcterms:created>
  <dcterms:modified xsi:type="dcterms:W3CDTF">2024-02-22T08:42:00Z</dcterms:modified>
</cp:coreProperties>
</file>